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5D88" w14:textId="77777777" w:rsidR="006762CA" w:rsidRPr="00C9671E" w:rsidRDefault="006762CA" w:rsidP="006762CA">
      <w:pPr>
        <w:spacing w:line="240" w:lineRule="auto"/>
        <w:rPr>
          <w:rFonts w:ascii="Times New Roman" w:hAnsi="Times New Roman" w:cs="Times New Roman"/>
        </w:rPr>
      </w:pPr>
      <w:bookmarkStart w:id="0" w:name="_Toc84631562"/>
      <w:bookmarkStart w:id="1" w:name="_Toc84329760"/>
      <w:bookmarkStart w:id="2" w:name="_Toc150746585"/>
      <w:bookmarkStart w:id="3" w:name="_Toc164582819"/>
      <w:bookmarkStart w:id="4" w:name="_Toc84631565"/>
      <w:bookmarkStart w:id="5" w:name="_Toc84329763"/>
      <w:bookmarkStart w:id="6" w:name="_Toc51252761"/>
      <w:r w:rsidRPr="00C9671E">
        <w:rPr>
          <w:rFonts w:ascii="Times New Roman" w:hAnsi="Times New Roman" w:cs="Times New Roman"/>
          <w:noProof/>
          <w:lang w:val="en-US" w:eastAsia="en-US" w:bidi="ar-SA"/>
        </w:rPr>
        <w:drawing>
          <wp:anchor distT="0" distB="0" distL="114300" distR="114300" simplePos="0" relativeHeight="251658240" behindDoc="1" locked="0" layoutInCell="1" allowOverlap="1" wp14:anchorId="6FA05E00" wp14:editId="76432526">
            <wp:simplePos x="0" y="0"/>
            <wp:positionH relativeFrom="column">
              <wp:posOffset>0</wp:posOffset>
            </wp:positionH>
            <wp:positionV relativeFrom="paragraph">
              <wp:posOffset>0</wp:posOffset>
            </wp:positionV>
            <wp:extent cx="1895475" cy="847725"/>
            <wp:effectExtent l="0" t="0" r="9525" b="9525"/>
            <wp:wrapTight wrapText="bothSides">
              <wp:wrapPolygon edited="0">
                <wp:start x="0" y="0"/>
                <wp:lineTo x="0" y="21357"/>
                <wp:lineTo x="21491" y="21357"/>
                <wp:lineTo x="2149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5475" cy="847725"/>
                    </a:xfrm>
                    <a:prstGeom prst="rect">
                      <a:avLst/>
                    </a:prstGeom>
                    <a:noFill/>
                    <a:ln>
                      <a:noFill/>
                    </a:ln>
                  </pic:spPr>
                </pic:pic>
              </a:graphicData>
            </a:graphic>
          </wp:anchor>
        </w:drawing>
      </w:r>
    </w:p>
    <w:p w14:paraId="5589CF1F" w14:textId="77777777" w:rsidR="006762CA" w:rsidRPr="00C9671E" w:rsidRDefault="006762CA" w:rsidP="006762CA">
      <w:pPr>
        <w:spacing w:line="240" w:lineRule="auto"/>
        <w:rPr>
          <w:rFonts w:ascii="Times New Roman" w:hAnsi="Times New Roman" w:cs="Times New Roman"/>
        </w:rPr>
      </w:pPr>
    </w:p>
    <w:p w14:paraId="22DBB241" w14:textId="77777777" w:rsidR="006762CA" w:rsidRPr="00C9671E" w:rsidRDefault="006762CA" w:rsidP="006762CA">
      <w:pPr>
        <w:spacing w:line="240" w:lineRule="auto"/>
        <w:rPr>
          <w:rFonts w:ascii="Times New Roman" w:hAnsi="Times New Roman" w:cs="Times New Roman"/>
          <w:sz w:val="24"/>
          <w:szCs w:val="24"/>
        </w:rPr>
      </w:pPr>
      <w:r w:rsidRPr="00C9671E">
        <w:rPr>
          <w:rFonts w:ascii="Times New Roman" w:hAnsi="Times New Roman" w:cs="Times New Roman"/>
          <w:sz w:val="24"/>
          <w:szCs w:val="24"/>
        </w:rPr>
        <w:t>ЕВРОПСКА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КОМИСИЈА</w:t>
      </w:r>
    </w:p>
    <w:p w14:paraId="615220DB" w14:textId="77777777" w:rsidR="006762CA" w:rsidRPr="00C9671E" w:rsidRDefault="006762CA" w:rsidP="006762CA">
      <w:pPr>
        <w:spacing w:line="240" w:lineRule="auto"/>
        <w:rPr>
          <w:rFonts w:ascii="Times New Roman" w:hAnsi="Times New Roman" w:cs="Times New Roman"/>
          <w:sz w:val="24"/>
          <w:szCs w:val="24"/>
        </w:rPr>
      </w:pPr>
    </w:p>
    <w:p w14:paraId="26C36912" w14:textId="77777777" w:rsidR="006762CA" w:rsidRPr="00C9671E" w:rsidRDefault="006762CA" w:rsidP="006762CA">
      <w:pPr>
        <w:spacing w:line="240" w:lineRule="auto"/>
        <w:rPr>
          <w:rFonts w:ascii="Times New Roman" w:hAnsi="Times New Roman" w:cs="Times New Roman"/>
          <w:sz w:val="24"/>
          <w:szCs w:val="24"/>
        </w:rPr>
      </w:pPr>
    </w:p>
    <w:p w14:paraId="31A2A684" w14:textId="77777777" w:rsidR="006762CA" w:rsidRPr="00C9671E" w:rsidRDefault="006762CA" w:rsidP="006762CA">
      <w:pPr>
        <w:spacing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523"/>
        <w:gridCol w:w="4549"/>
      </w:tblGrid>
      <w:tr w:rsidR="006762CA" w:rsidRPr="00C9671E" w14:paraId="4F0B2962" w14:textId="77777777" w:rsidTr="0012222D">
        <w:tc>
          <w:tcPr>
            <w:tcW w:w="4622" w:type="dxa"/>
            <w:shd w:val="clear" w:color="auto" w:fill="auto"/>
          </w:tcPr>
          <w:p w14:paraId="47DADAAA" w14:textId="77777777" w:rsidR="006762CA" w:rsidRPr="00C9671E" w:rsidRDefault="006762CA" w:rsidP="0012222D">
            <w:pPr>
              <w:spacing w:after="0" w:line="240" w:lineRule="auto"/>
              <w:rPr>
                <w:rFonts w:ascii="Times New Roman" w:eastAsia="Times New Roman" w:hAnsi="Times New Roman" w:cs="Times New Roman"/>
                <w:sz w:val="24"/>
                <w:szCs w:val="24"/>
              </w:rPr>
            </w:pPr>
          </w:p>
        </w:tc>
        <w:tc>
          <w:tcPr>
            <w:tcW w:w="4623" w:type="dxa"/>
            <w:shd w:val="clear" w:color="auto" w:fill="auto"/>
          </w:tcPr>
          <w:p w14:paraId="320374E4" w14:textId="77777777" w:rsidR="006762CA" w:rsidRPr="00C9671E" w:rsidRDefault="006762CA" w:rsidP="0012222D">
            <w:pPr>
              <w:spacing w:after="0" w:line="240" w:lineRule="auto"/>
              <w:rPr>
                <w:rFonts w:ascii="Times New Roman" w:eastAsia="Times New Roman" w:hAnsi="Times New Roman" w:cs="Times New Roman"/>
                <w:sz w:val="24"/>
                <w:szCs w:val="24"/>
              </w:rPr>
            </w:pPr>
            <w:r w:rsidRPr="00C9671E">
              <w:rPr>
                <w:rFonts w:ascii="Times New Roman" w:eastAsia="Times New Roman" w:hAnsi="Times New Roman" w:cs="Times New Roman"/>
                <w:sz w:val="24"/>
                <w:szCs w:val="24"/>
              </w:rPr>
              <w:t>Брисел,</w:t>
            </w:r>
            <w:r w:rsidR="00E003C4" w:rsidRPr="00C9671E">
              <w:rPr>
                <w:rFonts w:ascii="Times New Roman" w:eastAsia="Times New Roman" w:hAnsi="Times New Roman" w:cs="Times New Roman"/>
                <w:sz w:val="24"/>
                <w:szCs w:val="24"/>
              </w:rPr>
              <w:t xml:space="preserve"> </w:t>
            </w:r>
            <w:r w:rsidRPr="00C9671E">
              <w:rPr>
                <w:rFonts w:ascii="Times New Roman" w:eastAsia="Times New Roman" w:hAnsi="Times New Roman" w:cs="Times New Roman"/>
                <w:sz w:val="24"/>
                <w:szCs w:val="24"/>
              </w:rPr>
              <w:t>12.10.2022</w:t>
            </w:r>
            <w:r w:rsidR="00E003C4" w:rsidRPr="00C9671E">
              <w:rPr>
                <w:rFonts w:ascii="Times New Roman" w:eastAsia="Times New Roman" w:hAnsi="Times New Roman" w:cs="Times New Roman"/>
                <w:sz w:val="24"/>
                <w:szCs w:val="24"/>
              </w:rPr>
              <w:t xml:space="preserve"> </w:t>
            </w:r>
            <w:r w:rsidRPr="00C9671E">
              <w:rPr>
                <w:rFonts w:ascii="Times New Roman" w:eastAsia="Times New Roman" w:hAnsi="Times New Roman" w:cs="Times New Roman"/>
                <w:sz w:val="24"/>
                <w:szCs w:val="24"/>
              </w:rPr>
              <w:t>година</w:t>
            </w:r>
          </w:p>
          <w:p w14:paraId="49A80D18" w14:textId="2C4ADAC5" w:rsidR="006762CA" w:rsidRPr="00C9671E" w:rsidRDefault="006762CA" w:rsidP="00845B46">
            <w:pPr>
              <w:spacing w:after="0" w:line="240" w:lineRule="auto"/>
              <w:rPr>
                <w:rFonts w:ascii="Times New Roman" w:eastAsia="Times New Roman" w:hAnsi="Times New Roman" w:cs="Times New Roman"/>
                <w:sz w:val="24"/>
                <w:szCs w:val="24"/>
              </w:rPr>
            </w:pPr>
            <w:r w:rsidRPr="00C9671E">
              <w:rPr>
                <w:rFonts w:ascii="Times New Roman" w:eastAsia="Times New Roman" w:hAnsi="Times New Roman" w:cs="Times New Roman"/>
                <w:sz w:val="24"/>
                <w:szCs w:val="24"/>
              </w:rPr>
              <w:t>СВД(2022)</w:t>
            </w:r>
            <w:r w:rsidR="00E003C4" w:rsidRPr="00C9671E">
              <w:rPr>
                <w:rFonts w:ascii="Times New Roman" w:eastAsia="Times New Roman" w:hAnsi="Times New Roman" w:cs="Times New Roman"/>
                <w:sz w:val="24"/>
                <w:szCs w:val="24"/>
              </w:rPr>
              <w:t xml:space="preserve"> </w:t>
            </w:r>
            <w:r w:rsidRPr="00C9671E">
              <w:rPr>
                <w:rFonts w:ascii="Times New Roman" w:eastAsia="Times New Roman" w:hAnsi="Times New Roman" w:cs="Times New Roman"/>
                <w:sz w:val="24"/>
                <w:szCs w:val="24"/>
              </w:rPr>
              <w:t>337</w:t>
            </w:r>
            <w:r w:rsidR="00E003C4" w:rsidRPr="00C9671E">
              <w:rPr>
                <w:rFonts w:ascii="Times New Roman" w:eastAsia="Times New Roman" w:hAnsi="Times New Roman" w:cs="Times New Roman"/>
                <w:sz w:val="24"/>
                <w:szCs w:val="24"/>
              </w:rPr>
              <w:t xml:space="preserve"> </w:t>
            </w:r>
            <w:r w:rsidR="00845B46">
              <w:rPr>
                <w:rFonts w:ascii="Times New Roman" w:eastAsia="Times New Roman" w:hAnsi="Times New Roman" w:cs="Times New Roman"/>
                <w:sz w:val="24"/>
                <w:szCs w:val="24"/>
              </w:rPr>
              <w:t>последна</w:t>
            </w:r>
            <w:r w:rsidR="00E003C4" w:rsidRPr="00C9671E">
              <w:rPr>
                <w:rFonts w:ascii="Times New Roman" w:eastAsia="Times New Roman" w:hAnsi="Times New Roman" w:cs="Times New Roman"/>
                <w:sz w:val="24"/>
                <w:szCs w:val="24"/>
              </w:rPr>
              <w:t xml:space="preserve"> </w:t>
            </w:r>
            <w:r w:rsidRPr="00C9671E">
              <w:rPr>
                <w:rFonts w:ascii="Times New Roman" w:eastAsia="Times New Roman" w:hAnsi="Times New Roman" w:cs="Times New Roman"/>
                <w:sz w:val="24"/>
                <w:szCs w:val="24"/>
              </w:rPr>
              <w:t>верзија</w:t>
            </w:r>
          </w:p>
        </w:tc>
      </w:tr>
    </w:tbl>
    <w:p w14:paraId="7A3F825E" w14:textId="77777777" w:rsidR="006762CA" w:rsidRPr="00C9671E" w:rsidRDefault="006762CA" w:rsidP="006762CA">
      <w:pPr>
        <w:spacing w:line="240" w:lineRule="auto"/>
        <w:rPr>
          <w:rFonts w:ascii="Times New Roman" w:hAnsi="Times New Roman" w:cs="Times New Roman"/>
          <w:sz w:val="24"/>
          <w:szCs w:val="24"/>
        </w:rPr>
      </w:pPr>
    </w:p>
    <w:p w14:paraId="71795452" w14:textId="77777777" w:rsidR="006762CA" w:rsidRPr="00C9671E" w:rsidRDefault="006762CA" w:rsidP="006762CA">
      <w:pPr>
        <w:spacing w:line="240" w:lineRule="auto"/>
        <w:rPr>
          <w:rFonts w:ascii="Times New Roman" w:hAnsi="Times New Roman" w:cs="Times New Roman"/>
          <w:sz w:val="24"/>
          <w:szCs w:val="24"/>
        </w:rPr>
      </w:pPr>
    </w:p>
    <w:p w14:paraId="56A4B783" w14:textId="77777777" w:rsidR="006762CA" w:rsidRPr="00C9671E" w:rsidRDefault="006762CA" w:rsidP="006762CA">
      <w:pPr>
        <w:spacing w:line="240" w:lineRule="auto"/>
        <w:rPr>
          <w:rFonts w:ascii="Times New Roman" w:hAnsi="Times New Roman" w:cs="Times New Roman"/>
          <w:sz w:val="24"/>
          <w:szCs w:val="24"/>
        </w:rPr>
      </w:pPr>
    </w:p>
    <w:p w14:paraId="082101D2" w14:textId="77777777" w:rsidR="006762CA" w:rsidRPr="00C9671E" w:rsidRDefault="006762CA" w:rsidP="006762CA">
      <w:pPr>
        <w:spacing w:line="240" w:lineRule="auto"/>
        <w:jc w:val="center"/>
        <w:rPr>
          <w:rFonts w:ascii="Times New Roman" w:hAnsi="Times New Roman" w:cs="Times New Roman"/>
          <w:b/>
          <w:sz w:val="24"/>
          <w:szCs w:val="24"/>
        </w:rPr>
      </w:pPr>
      <w:r w:rsidRPr="00C9671E">
        <w:rPr>
          <w:rFonts w:ascii="Times New Roman" w:hAnsi="Times New Roman" w:cs="Times New Roman"/>
          <w:b/>
          <w:sz w:val="24"/>
          <w:szCs w:val="24"/>
        </w:rPr>
        <w:t>РАБОТЕН</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ДОКУМЕНТ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НА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СЛУЖБИТЕ</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НА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КОМИСИЈАТА</w:t>
      </w:r>
    </w:p>
    <w:p w14:paraId="754F97F9" w14:textId="77777777" w:rsidR="006762CA" w:rsidRPr="00C9671E" w:rsidRDefault="006762CA" w:rsidP="006762CA">
      <w:pPr>
        <w:spacing w:line="240" w:lineRule="auto"/>
        <w:jc w:val="center"/>
        <w:rPr>
          <w:rFonts w:ascii="Times New Roman" w:hAnsi="Times New Roman" w:cs="Times New Roman"/>
          <w:b/>
          <w:sz w:val="24"/>
          <w:szCs w:val="24"/>
        </w:rPr>
      </w:pPr>
      <w:r w:rsidRPr="00C9671E">
        <w:rPr>
          <w:rFonts w:ascii="Times New Roman" w:hAnsi="Times New Roman" w:cs="Times New Roman"/>
          <w:b/>
          <w:sz w:val="24"/>
          <w:szCs w:val="24"/>
        </w:rPr>
        <w:t>Извештај</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за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Северна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Македонија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за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2022</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година</w:t>
      </w:r>
    </w:p>
    <w:p w14:paraId="09861EA0" w14:textId="77777777" w:rsidR="006762CA" w:rsidRPr="00C9671E" w:rsidRDefault="006762CA" w:rsidP="006762CA">
      <w:pPr>
        <w:spacing w:line="240" w:lineRule="auto"/>
        <w:jc w:val="center"/>
        <w:rPr>
          <w:rFonts w:ascii="Times New Roman" w:hAnsi="Times New Roman" w:cs="Times New Roman"/>
          <w:sz w:val="24"/>
          <w:szCs w:val="24"/>
        </w:rPr>
      </w:pPr>
    </w:p>
    <w:p w14:paraId="79519AA4" w14:textId="77777777" w:rsidR="006762CA" w:rsidRPr="00C9671E" w:rsidRDefault="006762CA" w:rsidP="006762CA">
      <w:pPr>
        <w:spacing w:line="240" w:lineRule="auto"/>
        <w:jc w:val="center"/>
        <w:rPr>
          <w:rFonts w:ascii="Times New Roman" w:hAnsi="Times New Roman" w:cs="Times New Roman"/>
          <w:b/>
          <w:i/>
          <w:sz w:val="24"/>
          <w:szCs w:val="24"/>
        </w:rPr>
      </w:pPr>
      <w:r w:rsidRPr="00C9671E">
        <w:rPr>
          <w:rFonts w:ascii="Times New Roman" w:hAnsi="Times New Roman" w:cs="Times New Roman"/>
          <w:b/>
          <w:i/>
          <w:sz w:val="24"/>
          <w:szCs w:val="24"/>
        </w:rPr>
        <w:t>во</w:t>
      </w:r>
      <w:r w:rsidR="00E003C4" w:rsidRPr="00C9671E">
        <w:rPr>
          <w:rFonts w:ascii="Times New Roman" w:hAnsi="Times New Roman" w:cs="Times New Roman"/>
          <w:b/>
          <w:i/>
          <w:sz w:val="24"/>
          <w:szCs w:val="24"/>
        </w:rPr>
        <w:t xml:space="preserve"> </w:t>
      </w:r>
      <w:r w:rsidRPr="00C9671E">
        <w:rPr>
          <w:rFonts w:ascii="Times New Roman" w:hAnsi="Times New Roman" w:cs="Times New Roman"/>
          <w:b/>
          <w:i/>
          <w:sz w:val="24"/>
          <w:szCs w:val="24"/>
        </w:rPr>
        <w:t>прилог</w:t>
      </w:r>
      <w:r w:rsidR="00E003C4" w:rsidRPr="00C9671E">
        <w:rPr>
          <w:rFonts w:ascii="Times New Roman" w:hAnsi="Times New Roman" w:cs="Times New Roman"/>
          <w:b/>
          <w:i/>
          <w:sz w:val="24"/>
          <w:szCs w:val="24"/>
        </w:rPr>
        <w:t xml:space="preserve"> </w:t>
      </w:r>
      <w:r w:rsidRPr="00C9671E">
        <w:rPr>
          <w:rFonts w:ascii="Times New Roman" w:hAnsi="Times New Roman" w:cs="Times New Roman"/>
          <w:b/>
          <w:i/>
          <w:sz w:val="24"/>
          <w:szCs w:val="24"/>
        </w:rPr>
        <w:t>на</w:t>
      </w:r>
    </w:p>
    <w:p w14:paraId="4AA68076" w14:textId="77777777" w:rsidR="006762CA" w:rsidRPr="00C9671E" w:rsidRDefault="006762CA" w:rsidP="006762CA">
      <w:pPr>
        <w:spacing w:line="240" w:lineRule="auto"/>
        <w:jc w:val="center"/>
        <w:rPr>
          <w:rFonts w:ascii="Times New Roman" w:hAnsi="Times New Roman" w:cs="Times New Roman"/>
          <w:b/>
          <w:sz w:val="24"/>
          <w:szCs w:val="24"/>
        </w:rPr>
      </w:pPr>
      <w:r w:rsidRPr="00C9671E">
        <w:rPr>
          <w:rFonts w:ascii="Times New Roman" w:hAnsi="Times New Roman" w:cs="Times New Roman"/>
          <w:b/>
          <w:sz w:val="24"/>
          <w:szCs w:val="24"/>
        </w:rPr>
        <w:t>Комуникацијата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на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Комисијата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до</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Европскиот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парламент,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Советот,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Европскиот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економско-социјален</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комитет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и</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Комитетот</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на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регионите</w:t>
      </w:r>
    </w:p>
    <w:p w14:paraId="709B0482" w14:textId="77777777" w:rsidR="006762CA" w:rsidRPr="00C9671E" w:rsidRDefault="006762CA" w:rsidP="006762CA">
      <w:pPr>
        <w:spacing w:line="240" w:lineRule="auto"/>
        <w:jc w:val="center"/>
        <w:rPr>
          <w:rFonts w:ascii="Times New Roman" w:hAnsi="Times New Roman" w:cs="Times New Roman"/>
          <w:sz w:val="24"/>
          <w:szCs w:val="24"/>
        </w:rPr>
      </w:pPr>
    </w:p>
    <w:p w14:paraId="0608E0AC" w14:textId="77777777" w:rsidR="006762CA" w:rsidRPr="00C9671E" w:rsidRDefault="006762CA" w:rsidP="006762CA">
      <w:pPr>
        <w:spacing w:line="240" w:lineRule="auto"/>
        <w:jc w:val="center"/>
        <w:rPr>
          <w:rFonts w:ascii="Times New Roman" w:hAnsi="Times New Roman" w:cs="Times New Roman"/>
          <w:b/>
          <w:sz w:val="24"/>
          <w:szCs w:val="24"/>
        </w:rPr>
      </w:pPr>
      <w:r w:rsidRPr="00C9671E">
        <w:rPr>
          <w:rFonts w:ascii="Times New Roman" w:hAnsi="Times New Roman" w:cs="Times New Roman"/>
          <w:b/>
          <w:sz w:val="24"/>
          <w:szCs w:val="24"/>
        </w:rPr>
        <w:t>Комуникација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за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Политиката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за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проширување</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на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ЕУ</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за</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2022</w:t>
      </w:r>
      <w:r w:rsidR="00E003C4" w:rsidRPr="00C9671E">
        <w:rPr>
          <w:rFonts w:ascii="Times New Roman" w:hAnsi="Times New Roman" w:cs="Times New Roman"/>
          <w:b/>
          <w:sz w:val="24"/>
          <w:szCs w:val="24"/>
        </w:rPr>
        <w:t xml:space="preserve"> </w:t>
      </w:r>
      <w:r w:rsidRPr="00C9671E">
        <w:rPr>
          <w:rFonts w:ascii="Times New Roman" w:hAnsi="Times New Roman" w:cs="Times New Roman"/>
          <w:b/>
          <w:sz w:val="24"/>
          <w:szCs w:val="24"/>
        </w:rPr>
        <w:t>година</w:t>
      </w:r>
    </w:p>
    <w:p w14:paraId="1D9FDA43" w14:textId="4E34A941" w:rsidR="006762CA" w:rsidRPr="00C9671E" w:rsidRDefault="006762CA" w:rsidP="006762CA">
      <w:pPr>
        <w:spacing w:line="240" w:lineRule="auto"/>
        <w:jc w:val="center"/>
        <w:rPr>
          <w:rFonts w:ascii="Times New Roman" w:hAnsi="Times New Roman" w:cs="Times New Roman"/>
          <w:sz w:val="24"/>
          <w:szCs w:val="24"/>
        </w:rPr>
      </w:pPr>
      <w:r w:rsidRPr="00C9671E">
        <w:rPr>
          <w:rFonts w:ascii="Times New Roman" w:hAnsi="Times New Roman" w:cs="Times New Roman"/>
          <w:sz w:val="24"/>
          <w:szCs w:val="24"/>
        </w:rPr>
        <w:t>{КОМ(2022)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528</w:t>
      </w:r>
      <w:r w:rsidR="00E003C4" w:rsidRPr="00C9671E">
        <w:rPr>
          <w:rFonts w:ascii="Times New Roman" w:hAnsi="Times New Roman" w:cs="Times New Roman"/>
          <w:sz w:val="24"/>
          <w:szCs w:val="24"/>
        </w:rPr>
        <w:t xml:space="preserve"> </w:t>
      </w:r>
      <w:r w:rsidR="00845B46" w:rsidRPr="00845B46">
        <w:rPr>
          <w:rFonts w:ascii="Times New Roman" w:hAnsi="Times New Roman" w:cs="Times New Roman"/>
          <w:sz w:val="24"/>
          <w:szCs w:val="24"/>
        </w:rPr>
        <w:t xml:space="preserve">последна </w:t>
      </w:r>
      <w:r w:rsidRPr="00C9671E">
        <w:rPr>
          <w:rFonts w:ascii="Times New Roman" w:hAnsi="Times New Roman" w:cs="Times New Roman"/>
          <w:sz w:val="24"/>
          <w:szCs w:val="24"/>
        </w:rPr>
        <w:t>верзија}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{СВД(2022)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332</w:t>
      </w:r>
      <w:r w:rsidR="00E003C4" w:rsidRPr="00C9671E">
        <w:rPr>
          <w:rFonts w:ascii="Times New Roman" w:hAnsi="Times New Roman" w:cs="Times New Roman"/>
          <w:sz w:val="24"/>
          <w:szCs w:val="24"/>
        </w:rPr>
        <w:t xml:space="preserve"> </w:t>
      </w:r>
      <w:r w:rsidR="00845B46">
        <w:rPr>
          <w:rFonts w:ascii="Times New Roman" w:hAnsi="Times New Roman" w:cs="Times New Roman"/>
          <w:sz w:val="24"/>
          <w:szCs w:val="24"/>
        </w:rPr>
        <w:t>последна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верзија}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{СВД(2022)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333</w:t>
      </w:r>
      <w:r w:rsidR="00E003C4" w:rsidRPr="00C9671E">
        <w:rPr>
          <w:rFonts w:ascii="Times New Roman" w:hAnsi="Times New Roman" w:cs="Times New Roman"/>
          <w:sz w:val="24"/>
          <w:szCs w:val="24"/>
        </w:rPr>
        <w:t xml:space="preserve"> </w:t>
      </w:r>
      <w:r w:rsidR="00845B46">
        <w:rPr>
          <w:rFonts w:ascii="Times New Roman" w:hAnsi="Times New Roman" w:cs="Times New Roman"/>
          <w:sz w:val="24"/>
          <w:szCs w:val="24"/>
        </w:rPr>
        <w:t>последна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верзија}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{СВД(2022)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334</w:t>
      </w:r>
      <w:r w:rsidR="00E003C4" w:rsidRPr="00C9671E">
        <w:rPr>
          <w:rFonts w:ascii="Times New Roman" w:hAnsi="Times New Roman" w:cs="Times New Roman"/>
          <w:sz w:val="24"/>
          <w:szCs w:val="24"/>
        </w:rPr>
        <w:t xml:space="preserve"> </w:t>
      </w:r>
      <w:r w:rsidR="00845B46" w:rsidRPr="00845B46">
        <w:rPr>
          <w:rFonts w:ascii="Times New Roman" w:hAnsi="Times New Roman" w:cs="Times New Roman"/>
          <w:sz w:val="24"/>
          <w:szCs w:val="24"/>
        </w:rPr>
        <w:t xml:space="preserve">последна </w:t>
      </w:r>
      <w:r w:rsidRPr="00C9671E">
        <w:rPr>
          <w:rFonts w:ascii="Times New Roman" w:hAnsi="Times New Roman" w:cs="Times New Roman"/>
          <w:sz w:val="24"/>
          <w:szCs w:val="24"/>
        </w:rPr>
        <w:t>верзија}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{СВД(2022)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335</w:t>
      </w:r>
      <w:r w:rsidR="00E003C4" w:rsidRPr="00C9671E">
        <w:rPr>
          <w:rFonts w:ascii="Times New Roman" w:hAnsi="Times New Roman" w:cs="Times New Roman"/>
          <w:sz w:val="24"/>
          <w:szCs w:val="24"/>
        </w:rPr>
        <w:t xml:space="preserve"> </w:t>
      </w:r>
      <w:r w:rsidR="00845B46" w:rsidRPr="00845B46">
        <w:rPr>
          <w:rFonts w:ascii="Times New Roman" w:hAnsi="Times New Roman" w:cs="Times New Roman"/>
          <w:sz w:val="24"/>
          <w:szCs w:val="24"/>
        </w:rPr>
        <w:t xml:space="preserve">последна </w:t>
      </w:r>
      <w:r w:rsidRPr="00C9671E">
        <w:rPr>
          <w:rFonts w:ascii="Times New Roman" w:hAnsi="Times New Roman" w:cs="Times New Roman"/>
          <w:sz w:val="24"/>
          <w:szCs w:val="24"/>
        </w:rPr>
        <w:t>верзија}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{СВД(2022)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336</w:t>
      </w:r>
      <w:r w:rsidR="00E003C4" w:rsidRPr="00C9671E">
        <w:rPr>
          <w:rFonts w:ascii="Times New Roman" w:hAnsi="Times New Roman" w:cs="Times New Roman"/>
          <w:sz w:val="24"/>
          <w:szCs w:val="24"/>
        </w:rPr>
        <w:t xml:space="preserve"> </w:t>
      </w:r>
      <w:r w:rsidR="00845B46" w:rsidRPr="00845B46">
        <w:rPr>
          <w:rFonts w:ascii="Times New Roman" w:hAnsi="Times New Roman" w:cs="Times New Roman"/>
          <w:sz w:val="24"/>
          <w:szCs w:val="24"/>
        </w:rPr>
        <w:t xml:space="preserve">последна </w:t>
      </w:r>
      <w:r w:rsidRPr="00C9671E">
        <w:rPr>
          <w:rFonts w:ascii="Times New Roman" w:hAnsi="Times New Roman" w:cs="Times New Roman"/>
          <w:sz w:val="24"/>
          <w:szCs w:val="24"/>
        </w:rPr>
        <w:t>верзија}</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{СВД(2022)</w:t>
      </w:r>
      <w:r w:rsidR="00E003C4" w:rsidRPr="00C9671E">
        <w:rPr>
          <w:rFonts w:ascii="Times New Roman" w:hAnsi="Times New Roman" w:cs="Times New Roman"/>
          <w:sz w:val="24"/>
          <w:szCs w:val="24"/>
        </w:rPr>
        <w:t xml:space="preserve"> </w:t>
      </w:r>
      <w:r w:rsidRPr="00C9671E">
        <w:rPr>
          <w:rFonts w:ascii="Times New Roman" w:hAnsi="Times New Roman" w:cs="Times New Roman"/>
          <w:sz w:val="24"/>
          <w:szCs w:val="24"/>
        </w:rPr>
        <w:t>338</w:t>
      </w:r>
      <w:r w:rsidR="00E003C4" w:rsidRPr="00C9671E">
        <w:rPr>
          <w:rFonts w:ascii="Times New Roman" w:hAnsi="Times New Roman" w:cs="Times New Roman"/>
          <w:sz w:val="24"/>
          <w:szCs w:val="24"/>
        </w:rPr>
        <w:t xml:space="preserve"> </w:t>
      </w:r>
      <w:r w:rsidR="00845B46" w:rsidRPr="00845B46">
        <w:rPr>
          <w:rFonts w:ascii="Times New Roman" w:hAnsi="Times New Roman" w:cs="Times New Roman"/>
          <w:sz w:val="24"/>
          <w:szCs w:val="24"/>
        </w:rPr>
        <w:t xml:space="preserve">последна </w:t>
      </w:r>
      <w:r w:rsidRPr="00C9671E">
        <w:rPr>
          <w:rFonts w:ascii="Times New Roman" w:hAnsi="Times New Roman" w:cs="Times New Roman"/>
          <w:sz w:val="24"/>
          <w:szCs w:val="24"/>
        </w:rPr>
        <w:t>верзија}</w:t>
      </w:r>
    </w:p>
    <w:p w14:paraId="18850386" w14:textId="77777777" w:rsidR="00131338" w:rsidRPr="00C9671E" w:rsidRDefault="00131338" w:rsidP="006E0C51">
      <w:pPr>
        <w:spacing w:after="120" w:line="240" w:lineRule="auto"/>
        <w:rPr>
          <w:rFonts w:ascii="Times New Roman" w:hAnsi="Times New Roman" w:cs="Times New Roman"/>
          <w:sz w:val="24"/>
          <w:szCs w:val="24"/>
        </w:rPr>
      </w:pPr>
    </w:p>
    <w:p w14:paraId="41E4F496" w14:textId="77777777" w:rsidR="006762CA" w:rsidRPr="00C9671E" w:rsidRDefault="006762CA" w:rsidP="006E0C51">
      <w:pPr>
        <w:spacing w:after="120" w:line="240" w:lineRule="auto"/>
        <w:rPr>
          <w:rFonts w:ascii="Times New Roman" w:hAnsi="Times New Roman" w:cs="Times New Roman"/>
          <w:sz w:val="24"/>
          <w:szCs w:val="24"/>
        </w:rPr>
      </w:pPr>
    </w:p>
    <w:p w14:paraId="0787EE38" w14:textId="77777777" w:rsidR="006762CA" w:rsidRPr="00C9671E" w:rsidRDefault="006762CA" w:rsidP="006E0C51">
      <w:pPr>
        <w:spacing w:after="120" w:line="240" w:lineRule="auto"/>
        <w:rPr>
          <w:rFonts w:ascii="Times New Roman" w:hAnsi="Times New Roman" w:cs="Times New Roman"/>
          <w:sz w:val="24"/>
          <w:szCs w:val="24"/>
        </w:rPr>
      </w:pPr>
    </w:p>
    <w:p w14:paraId="04CA9804" w14:textId="77777777" w:rsidR="006762CA" w:rsidRPr="00C9671E" w:rsidRDefault="006762CA" w:rsidP="006E0C51">
      <w:pPr>
        <w:spacing w:after="120" w:line="240" w:lineRule="auto"/>
        <w:rPr>
          <w:rFonts w:ascii="Times New Roman" w:hAnsi="Times New Roman" w:cs="Times New Roman"/>
          <w:sz w:val="24"/>
          <w:szCs w:val="24"/>
        </w:rPr>
      </w:pPr>
    </w:p>
    <w:p w14:paraId="6B36715F" w14:textId="77777777" w:rsidR="006762CA" w:rsidRPr="00C9671E" w:rsidRDefault="006762CA" w:rsidP="006E0C51">
      <w:pPr>
        <w:spacing w:after="120" w:line="240" w:lineRule="auto"/>
        <w:rPr>
          <w:rFonts w:ascii="Times New Roman" w:hAnsi="Times New Roman" w:cs="Times New Roman"/>
          <w:sz w:val="24"/>
          <w:szCs w:val="24"/>
        </w:rPr>
      </w:pPr>
    </w:p>
    <w:p w14:paraId="22A831E4" w14:textId="77777777" w:rsidR="006762CA" w:rsidRPr="00C9671E" w:rsidRDefault="006762CA" w:rsidP="006E0C51">
      <w:pPr>
        <w:spacing w:after="120" w:line="240" w:lineRule="auto"/>
        <w:rPr>
          <w:rFonts w:ascii="Times New Roman" w:hAnsi="Times New Roman" w:cs="Times New Roman"/>
          <w:sz w:val="24"/>
          <w:szCs w:val="24"/>
        </w:rPr>
      </w:pPr>
    </w:p>
    <w:p w14:paraId="298EAC5B" w14:textId="77777777" w:rsidR="006762CA" w:rsidRPr="00C9671E" w:rsidRDefault="006762CA" w:rsidP="006E0C51">
      <w:pPr>
        <w:spacing w:after="120" w:line="240" w:lineRule="auto"/>
        <w:rPr>
          <w:rFonts w:ascii="Times New Roman" w:hAnsi="Times New Roman" w:cs="Times New Roman"/>
          <w:sz w:val="24"/>
          <w:szCs w:val="24"/>
        </w:rPr>
      </w:pPr>
    </w:p>
    <w:p w14:paraId="6176DF32" w14:textId="77777777" w:rsidR="006762CA" w:rsidRPr="00C9671E" w:rsidRDefault="006762CA" w:rsidP="006E0C51">
      <w:pPr>
        <w:spacing w:after="120" w:line="240" w:lineRule="auto"/>
        <w:rPr>
          <w:rFonts w:ascii="Times New Roman" w:hAnsi="Times New Roman" w:cs="Times New Roman"/>
          <w:sz w:val="24"/>
          <w:szCs w:val="24"/>
        </w:rPr>
      </w:pPr>
    </w:p>
    <w:p w14:paraId="285D6D96" w14:textId="77777777" w:rsidR="006762CA" w:rsidRPr="00C9671E" w:rsidRDefault="006762CA" w:rsidP="006E0C51">
      <w:pPr>
        <w:spacing w:after="120" w:line="240" w:lineRule="auto"/>
        <w:rPr>
          <w:rFonts w:ascii="Times New Roman" w:hAnsi="Times New Roman" w:cs="Times New Roman"/>
          <w:sz w:val="24"/>
          <w:szCs w:val="24"/>
        </w:rPr>
      </w:pPr>
    </w:p>
    <w:p w14:paraId="2341E6F7" w14:textId="77777777" w:rsidR="006762CA" w:rsidRPr="00C9671E" w:rsidRDefault="006762CA" w:rsidP="006E0C51">
      <w:pPr>
        <w:spacing w:after="120" w:line="240" w:lineRule="auto"/>
        <w:rPr>
          <w:rFonts w:ascii="Times New Roman" w:hAnsi="Times New Roman" w:cs="Times New Roman"/>
          <w:sz w:val="24"/>
          <w:szCs w:val="24"/>
        </w:rPr>
      </w:pPr>
    </w:p>
    <w:p w14:paraId="3246528B" w14:textId="77777777" w:rsidR="006762CA" w:rsidRPr="00C9671E" w:rsidRDefault="006762CA" w:rsidP="006E0C51">
      <w:pPr>
        <w:spacing w:after="120" w:line="240" w:lineRule="auto"/>
        <w:rPr>
          <w:rFonts w:ascii="Times New Roman" w:hAnsi="Times New Roman" w:cs="Times New Roman"/>
          <w:sz w:val="24"/>
          <w:szCs w:val="24"/>
        </w:rPr>
      </w:pPr>
    </w:p>
    <w:p w14:paraId="4ED97CE8" w14:textId="77777777" w:rsidR="006762CA" w:rsidRPr="00C9671E" w:rsidRDefault="006762CA" w:rsidP="006E0C51">
      <w:pPr>
        <w:spacing w:after="120" w:line="240" w:lineRule="auto"/>
        <w:rPr>
          <w:rFonts w:ascii="Times New Roman" w:hAnsi="Times New Roman" w:cs="Times New Roman"/>
          <w:sz w:val="24"/>
          <w:szCs w:val="24"/>
        </w:rPr>
      </w:pPr>
    </w:p>
    <w:p w14:paraId="0899A507" w14:textId="77777777" w:rsidR="006762CA" w:rsidRPr="00C9671E" w:rsidRDefault="006762CA" w:rsidP="006E0C51">
      <w:pPr>
        <w:spacing w:after="120" w:line="240" w:lineRule="auto"/>
        <w:rPr>
          <w:rFonts w:ascii="Times New Roman" w:hAnsi="Times New Roman" w:cs="Times New Roman"/>
          <w:sz w:val="24"/>
          <w:szCs w:val="24"/>
        </w:rPr>
      </w:pPr>
    </w:p>
    <w:sdt>
      <w:sdtPr>
        <w:rPr>
          <w:rFonts w:eastAsiaTheme="minorHAnsi"/>
          <w:b w:val="0"/>
          <w:sz w:val="24"/>
        </w:rPr>
        <w:id w:val="-1602715026"/>
        <w:docPartObj>
          <w:docPartGallery w:val="Table of Contents"/>
          <w:docPartUnique/>
        </w:docPartObj>
      </w:sdtPr>
      <w:sdtEndPr>
        <w:rPr>
          <w:b/>
          <w:bCs/>
          <w:caps/>
        </w:rPr>
      </w:sdtEndPr>
      <w:sdtContent>
        <w:p w14:paraId="095CC1BB" w14:textId="77777777" w:rsidR="001D2026" w:rsidRPr="00C9671E" w:rsidRDefault="001D2026" w:rsidP="006E0C51">
          <w:pPr>
            <w:pStyle w:val="TOCHeading"/>
            <w:spacing w:before="0" w:after="120"/>
            <w:rPr>
              <w:sz w:val="24"/>
            </w:rPr>
          </w:pPr>
        </w:p>
        <w:p w14:paraId="2A0B269E" w14:textId="77777777" w:rsidR="000E0AE9" w:rsidRDefault="002E49F1">
          <w:pPr>
            <w:pStyle w:val="TOC1"/>
            <w:rPr>
              <w:rFonts w:asciiTheme="minorHAnsi" w:eastAsiaTheme="minorEastAsia" w:hAnsiTheme="minorHAnsi" w:cstheme="minorBidi"/>
              <w:b w:val="0"/>
              <w:caps w:val="0"/>
              <w:noProof/>
              <w:sz w:val="22"/>
              <w:szCs w:val="22"/>
              <w:lang w:val="en-US" w:eastAsia="en-US" w:bidi="ar-SA"/>
            </w:rPr>
          </w:pPr>
          <w:r w:rsidRPr="00C9671E">
            <w:rPr>
              <w:rFonts w:ascii="Times New Roman" w:hAnsi="Times New Roman"/>
            </w:rPr>
            <w:fldChar w:fldCharType="begin"/>
          </w:r>
          <w:r w:rsidR="006762CA" w:rsidRPr="00C9671E">
            <w:rPr>
              <w:rFonts w:ascii="Times New Roman" w:hAnsi="Times New Roman"/>
            </w:rPr>
            <w:instrText xml:space="preserve"> TOC \o "1-3" \h \z \u </w:instrText>
          </w:r>
          <w:r w:rsidRPr="00C9671E">
            <w:rPr>
              <w:rFonts w:ascii="Times New Roman" w:hAnsi="Times New Roman"/>
            </w:rPr>
            <w:fldChar w:fldCharType="separate"/>
          </w:r>
          <w:hyperlink w:anchor="_Toc117004143" w:history="1">
            <w:r w:rsidR="000E0AE9" w:rsidRPr="00F60C62">
              <w:rPr>
                <w:rStyle w:val="Hyperlink"/>
                <w:rFonts w:ascii="Times New Roman" w:hAnsi="Times New Roman"/>
                <w:noProof/>
              </w:rPr>
              <w:t xml:space="preserve">1. </w:t>
            </w:r>
            <w:r w:rsidR="000E0AE9">
              <w:rPr>
                <w:rFonts w:asciiTheme="minorHAnsi" w:eastAsiaTheme="minorEastAsia" w:hAnsiTheme="minorHAnsi" w:cstheme="minorBidi"/>
                <w:b w:val="0"/>
                <w:caps w:val="0"/>
                <w:noProof/>
                <w:sz w:val="22"/>
                <w:szCs w:val="22"/>
                <w:lang w:val="en-US" w:eastAsia="en-US" w:bidi="ar-SA"/>
              </w:rPr>
              <w:tab/>
            </w:r>
            <w:r w:rsidR="000E0AE9" w:rsidRPr="00F60C62">
              <w:rPr>
                <w:rStyle w:val="Hyperlink"/>
                <w:rFonts w:ascii="Times New Roman" w:hAnsi="Times New Roman"/>
                <w:noProof/>
              </w:rPr>
              <w:t>Вовед</w:t>
            </w:r>
            <w:r w:rsidR="000E0AE9">
              <w:rPr>
                <w:noProof/>
                <w:webHidden/>
              </w:rPr>
              <w:tab/>
            </w:r>
            <w:r w:rsidR="000E0AE9">
              <w:rPr>
                <w:noProof/>
                <w:webHidden/>
              </w:rPr>
              <w:fldChar w:fldCharType="begin"/>
            </w:r>
            <w:r w:rsidR="000E0AE9">
              <w:rPr>
                <w:noProof/>
                <w:webHidden/>
              </w:rPr>
              <w:instrText xml:space="preserve"> PAGEREF _Toc117004143 \h </w:instrText>
            </w:r>
            <w:r w:rsidR="000E0AE9">
              <w:rPr>
                <w:noProof/>
                <w:webHidden/>
              </w:rPr>
            </w:r>
            <w:r w:rsidR="000E0AE9">
              <w:rPr>
                <w:noProof/>
                <w:webHidden/>
              </w:rPr>
              <w:fldChar w:fldCharType="separate"/>
            </w:r>
            <w:r w:rsidR="000E0AE9">
              <w:rPr>
                <w:noProof/>
                <w:webHidden/>
              </w:rPr>
              <w:t>4</w:t>
            </w:r>
            <w:r w:rsidR="000E0AE9">
              <w:rPr>
                <w:noProof/>
                <w:webHidden/>
              </w:rPr>
              <w:fldChar w:fldCharType="end"/>
            </w:r>
          </w:hyperlink>
        </w:p>
        <w:p w14:paraId="08D55624"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44" w:history="1">
            <w:r w:rsidR="000E0AE9" w:rsidRPr="00F60C62">
              <w:rPr>
                <w:rStyle w:val="Hyperlink"/>
                <w:noProof/>
              </w:rPr>
              <w:t xml:space="preserve">1.1. </w:t>
            </w:r>
            <w:r w:rsidR="000E0AE9">
              <w:rPr>
                <w:rFonts w:asciiTheme="minorHAnsi" w:eastAsiaTheme="minorEastAsia" w:hAnsiTheme="minorHAnsi" w:cstheme="minorBidi"/>
                <w:b w:val="0"/>
                <w:smallCaps w:val="0"/>
                <w:noProof/>
                <w:sz w:val="22"/>
                <w:szCs w:val="22"/>
                <w:lang w:val="en-US" w:eastAsia="en-US" w:bidi="ar-SA"/>
              </w:rPr>
              <w:tab/>
            </w:r>
            <w:r w:rsidR="000E0AE9" w:rsidRPr="00F60C62">
              <w:rPr>
                <w:rStyle w:val="Hyperlink"/>
                <w:noProof/>
              </w:rPr>
              <w:t>Контекст</w:t>
            </w:r>
            <w:r w:rsidR="000E0AE9">
              <w:rPr>
                <w:noProof/>
                <w:webHidden/>
              </w:rPr>
              <w:tab/>
            </w:r>
            <w:r w:rsidR="000E0AE9">
              <w:rPr>
                <w:noProof/>
                <w:webHidden/>
              </w:rPr>
              <w:fldChar w:fldCharType="begin"/>
            </w:r>
            <w:r w:rsidR="000E0AE9">
              <w:rPr>
                <w:noProof/>
                <w:webHidden/>
              </w:rPr>
              <w:instrText xml:space="preserve"> PAGEREF _Toc117004144 \h </w:instrText>
            </w:r>
            <w:r w:rsidR="000E0AE9">
              <w:rPr>
                <w:noProof/>
                <w:webHidden/>
              </w:rPr>
            </w:r>
            <w:r w:rsidR="000E0AE9">
              <w:rPr>
                <w:noProof/>
                <w:webHidden/>
              </w:rPr>
              <w:fldChar w:fldCharType="separate"/>
            </w:r>
            <w:r w:rsidR="000E0AE9">
              <w:rPr>
                <w:noProof/>
                <w:webHidden/>
              </w:rPr>
              <w:t>4</w:t>
            </w:r>
            <w:r w:rsidR="000E0AE9">
              <w:rPr>
                <w:noProof/>
                <w:webHidden/>
              </w:rPr>
              <w:fldChar w:fldCharType="end"/>
            </w:r>
          </w:hyperlink>
        </w:p>
        <w:p w14:paraId="7B5663AA"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45" w:history="1">
            <w:r w:rsidR="000E0AE9" w:rsidRPr="00F60C62">
              <w:rPr>
                <w:rStyle w:val="Hyperlink"/>
                <w:rFonts w:ascii="Times New Roman" w:hAnsi="Times New Roman"/>
                <w:noProof/>
              </w:rPr>
              <w:t>1</w:t>
            </w:r>
            <w:r w:rsidR="000E0AE9" w:rsidRPr="00F60C62">
              <w:rPr>
                <w:rStyle w:val="Hyperlink"/>
                <w:rFonts w:ascii="Times New Roman" w:hAnsi="Times New Roman"/>
                <w:bCs/>
                <w:noProof/>
              </w:rPr>
              <w:t xml:space="preserve">.2. </w:t>
            </w:r>
            <w:r w:rsidR="000E0AE9">
              <w:rPr>
                <w:rFonts w:asciiTheme="minorHAnsi" w:eastAsiaTheme="minorEastAsia" w:hAnsiTheme="minorHAnsi" w:cstheme="minorBidi"/>
                <w:b w:val="0"/>
                <w:smallCaps w:val="0"/>
                <w:noProof/>
                <w:sz w:val="22"/>
                <w:szCs w:val="22"/>
                <w:lang w:val="en-US" w:eastAsia="en-US" w:bidi="ar-SA"/>
              </w:rPr>
              <w:tab/>
            </w:r>
            <w:r w:rsidR="000E0AE9" w:rsidRPr="00F60C62">
              <w:rPr>
                <w:rStyle w:val="Hyperlink"/>
                <w:rFonts w:ascii="Times New Roman" w:hAnsi="Times New Roman"/>
                <w:bCs/>
                <w:noProof/>
              </w:rPr>
              <w:t>Резиме на извештајот</w:t>
            </w:r>
            <w:r w:rsidR="000E0AE9">
              <w:rPr>
                <w:noProof/>
                <w:webHidden/>
              </w:rPr>
              <w:tab/>
            </w:r>
            <w:r w:rsidR="000E0AE9">
              <w:rPr>
                <w:noProof/>
                <w:webHidden/>
              </w:rPr>
              <w:fldChar w:fldCharType="begin"/>
            </w:r>
            <w:r w:rsidR="000E0AE9">
              <w:rPr>
                <w:noProof/>
                <w:webHidden/>
              </w:rPr>
              <w:instrText xml:space="preserve"> PAGEREF _Toc117004145 \h </w:instrText>
            </w:r>
            <w:r w:rsidR="000E0AE9">
              <w:rPr>
                <w:noProof/>
                <w:webHidden/>
              </w:rPr>
            </w:r>
            <w:r w:rsidR="000E0AE9">
              <w:rPr>
                <w:noProof/>
                <w:webHidden/>
              </w:rPr>
              <w:fldChar w:fldCharType="separate"/>
            </w:r>
            <w:r w:rsidR="000E0AE9">
              <w:rPr>
                <w:noProof/>
                <w:webHidden/>
              </w:rPr>
              <w:t>4</w:t>
            </w:r>
            <w:r w:rsidR="000E0AE9">
              <w:rPr>
                <w:noProof/>
                <w:webHidden/>
              </w:rPr>
              <w:fldChar w:fldCharType="end"/>
            </w:r>
          </w:hyperlink>
        </w:p>
        <w:p w14:paraId="3C3A60A0" w14:textId="77777777" w:rsidR="000E0AE9" w:rsidRDefault="00000000">
          <w:pPr>
            <w:pStyle w:val="TOC1"/>
            <w:rPr>
              <w:rFonts w:asciiTheme="minorHAnsi" w:eastAsiaTheme="minorEastAsia" w:hAnsiTheme="minorHAnsi" w:cstheme="minorBidi"/>
              <w:b w:val="0"/>
              <w:caps w:val="0"/>
              <w:noProof/>
              <w:sz w:val="22"/>
              <w:szCs w:val="22"/>
              <w:lang w:val="en-US" w:eastAsia="en-US" w:bidi="ar-SA"/>
            </w:rPr>
          </w:pPr>
          <w:hyperlink w:anchor="_Toc117004146" w:history="1">
            <w:r w:rsidR="000E0AE9" w:rsidRPr="00F60C62">
              <w:rPr>
                <w:rStyle w:val="Hyperlink"/>
                <w:rFonts w:ascii="Times New Roman" w:hAnsi="Times New Roman"/>
                <w:noProof/>
              </w:rPr>
              <w:t>2.</w:t>
            </w:r>
            <w:r w:rsidR="000E0AE9">
              <w:rPr>
                <w:rFonts w:asciiTheme="minorHAnsi" w:eastAsiaTheme="minorEastAsia" w:hAnsiTheme="minorHAnsi" w:cstheme="minorBidi"/>
                <w:b w:val="0"/>
                <w:caps w:val="0"/>
                <w:noProof/>
                <w:sz w:val="22"/>
                <w:szCs w:val="22"/>
                <w:lang w:val="en-US" w:eastAsia="en-US" w:bidi="ar-SA"/>
              </w:rPr>
              <w:tab/>
            </w:r>
            <w:r w:rsidR="000E0AE9" w:rsidRPr="00F60C62">
              <w:rPr>
                <w:rStyle w:val="Hyperlink"/>
                <w:rFonts w:ascii="Times New Roman" w:hAnsi="Times New Roman"/>
                <w:noProof/>
              </w:rPr>
              <w:t>Кластер 1: ФУНДАМЕНТАЛНИ ВРЕДНОСТИ на ПРИСТАПНИОТ процес</w:t>
            </w:r>
            <w:r w:rsidR="000E0AE9">
              <w:rPr>
                <w:noProof/>
                <w:webHidden/>
              </w:rPr>
              <w:tab/>
            </w:r>
            <w:r w:rsidR="000E0AE9">
              <w:rPr>
                <w:noProof/>
                <w:webHidden/>
              </w:rPr>
              <w:fldChar w:fldCharType="begin"/>
            </w:r>
            <w:r w:rsidR="000E0AE9">
              <w:rPr>
                <w:noProof/>
                <w:webHidden/>
              </w:rPr>
              <w:instrText xml:space="preserve"> PAGEREF _Toc117004146 \h </w:instrText>
            </w:r>
            <w:r w:rsidR="000E0AE9">
              <w:rPr>
                <w:noProof/>
                <w:webHidden/>
              </w:rPr>
            </w:r>
            <w:r w:rsidR="000E0AE9">
              <w:rPr>
                <w:noProof/>
                <w:webHidden/>
              </w:rPr>
              <w:fldChar w:fldCharType="separate"/>
            </w:r>
            <w:r w:rsidR="000E0AE9">
              <w:rPr>
                <w:noProof/>
                <w:webHidden/>
              </w:rPr>
              <w:t>10</w:t>
            </w:r>
            <w:r w:rsidR="000E0AE9">
              <w:rPr>
                <w:noProof/>
                <w:webHidden/>
              </w:rPr>
              <w:fldChar w:fldCharType="end"/>
            </w:r>
          </w:hyperlink>
        </w:p>
        <w:p w14:paraId="2699BB4F"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47" w:history="1">
            <w:r w:rsidR="000E0AE9" w:rsidRPr="00F60C62">
              <w:rPr>
                <w:rStyle w:val="Hyperlink"/>
                <w:noProof/>
              </w:rPr>
              <w:t>2.1.</w:t>
            </w:r>
            <w:r w:rsidR="000E0AE9">
              <w:rPr>
                <w:rFonts w:asciiTheme="minorHAnsi" w:eastAsiaTheme="minorEastAsia" w:hAnsiTheme="minorHAnsi" w:cstheme="minorBidi"/>
                <w:b w:val="0"/>
                <w:smallCaps w:val="0"/>
                <w:noProof/>
                <w:sz w:val="22"/>
                <w:szCs w:val="22"/>
                <w:lang w:val="en-US" w:eastAsia="en-US" w:bidi="ar-SA"/>
              </w:rPr>
              <w:tab/>
            </w:r>
            <w:r w:rsidR="000E0AE9" w:rsidRPr="00F60C62">
              <w:rPr>
                <w:rStyle w:val="Hyperlink"/>
                <w:noProof/>
              </w:rPr>
              <w:t>Функционирање на демократските институции и реформата на јавната администрација</w:t>
            </w:r>
            <w:r w:rsidR="000E0AE9">
              <w:rPr>
                <w:noProof/>
                <w:webHidden/>
              </w:rPr>
              <w:tab/>
            </w:r>
            <w:r w:rsidR="000E0AE9">
              <w:rPr>
                <w:noProof/>
                <w:webHidden/>
              </w:rPr>
              <w:fldChar w:fldCharType="begin"/>
            </w:r>
            <w:r w:rsidR="000E0AE9">
              <w:rPr>
                <w:noProof/>
                <w:webHidden/>
              </w:rPr>
              <w:instrText xml:space="preserve"> PAGEREF _Toc117004147 \h </w:instrText>
            </w:r>
            <w:r w:rsidR="000E0AE9">
              <w:rPr>
                <w:noProof/>
                <w:webHidden/>
              </w:rPr>
            </w:r>
            <w:r w:rsidR="000E0AE9">
              <w:rPr>
                <w:noProof/>
                <w:webHidden/>
              </w:rPr>
              <w:fldChar w:fldCharType="separate"/>
            </w:r>
            <w:r w:rsidR="000E0AE9">
              <w:rPr>
                <w:noProof/>
                <w:webHidden/>
              </w:rPr>
              <w:t>10</w:t>
            </w:r>
            <w:r w:rsidR="000E0AE9">
              <w:rPr>
                <w:noProof/>
                <w:webHidden/>
              </w:rPr>
              <w:fldChar w:fldCharType="end"/>
            </w:r>
          </w:hyperlink>
        </w:p>
        <w:p w14:paraId="72B38FBA" w14:textId="77777777" w:rsidR="000E0AE9" w:rsidRDefault="00000000">
          <w:pPr>
            <w:pStyle w:val="TOC3"/>
            <w:tabs>
              <w:tab w:val="left" w:pos="1815"/>
            </w:tabs>
            <w:rPr>
              <w:rFonts w:asciiTheme="minorHAnsi" w:eastAsiaTheme="minorEastAsia" w:hAnsiTheme="minorHAnsi" w:cstheme="minorBidi"/>
              <w:noProof/>
              <w:sz w:val="22"/>
              <w:szCs w:val="22"/>
              <w:lang w:val="en-US" w:eastAsia="en-US" w:bidi="ar-SA"/>
            </w:rPr>
          </w:pPr>
          <w:hyperlink w:anchor="_Toc117004148" w:history="1">
            <w:r w:rsidR="000E0AE9" w:rsidRPr="00F60C62">
              <w:rPr>
                <w:rStyle w:val="Hyperlink"/>
                <w:noProof/>
              </w:rPr>
              <w:t>2.1.1.</w:t>
            </w:r>
            <w:r w:rsidR="000E0AE9">
              <w:rPr>
                <w:rFonts w:asciiTheme="minorHAnsi" w:eastAsiaTheme="minorEastAsia" w:hAnsiTheme="minorHAnsi" w:cstheme="minorBidi"/>
                <w:noProof/>
                <w:sz w:val="22"/>
                <w:szCs w:val="22"/>
                <w:lang w:val="en-US" w:eastAsia="en-US" w:bidi="ar-SA"/>
              </w:rPr>
              <w:tab/>
            </w:r>
            <w:r w:rsidR="000E0AE9" w:rsidRPr="00F60C62">
              <w:rPr>
                <w:rStyle w:val="Hyperlink"/>
                <w:noProof/>
              </w:rPr>
              <w:t>Демократија</w:t>
            </w:r>
            <w:r w:rsidR="000E0AE9">
              <w:rPr>
                <w:noProof/>
                <w:webHidden/>
              </w:rPr>
              <w:tab/>
            </w:r>
            <w:r w:rsidR="000E0AE9">
              <w:rPr>
                <w:noProof/>
                <w:webHidden/>
              </w:rPr>
              <w:fldChar w:fldCharType="begin"/>
            </w:r>
            <w:r w:rsidR="000E0AE9">
              <w:rPr>
                <w:noProof/>
                <w:webHidden/>
              </w:rPr>
              <w:instrText xml:space="preserve"> PAGEREF _Toc117004148 \h </w:instrText>
            </w:r>
            <w:r w:rsidR="000E0AE9">
              <w:rPr>
                <w:noProof/>
                <w:webHidden/>
              </w:rPr>
            </w:r>
            <w:r w:rsidR="000E0AE9">
              <w:rPr>
                <w:noProof/>
                <w:webHidden/>
              </w:rPr>
              <w:fldChar w:fldCharType="separate"/>
            </w:r>
            <w:r w:rsidR="000E0AE9">
              <w:rPr>
                <w:noProof/>
                <w:webHidden/>
              </w:rPr>
              <w:t>10</w:t>
            </w:r>
            <w:r w:rsidR="000E0AE9">
              <w:rPr>
                <w:noProof/>
                <w:webHidden/>
              </w:rPr>
              <w:fldChar w:fldCharType="end"/>
            </w:r>
          </w:hyperlink>
        </w:p>
        <w:p w14:paraId="6D9DBE17" w14:textId="77777777" w:rsidR="000E0AE9" w:rsidRDefault="00000000">
          <w:pPr>
            <w:pStyle w:val="TOC3"/>
            <w:tabs>
              <w:tab w:val="left" w:pos="1815"/>
            </w:tabs>
            <w:rPr>
              <w:rFonts w:asciiTheme="minorHAnsi" w:eastAsiaTheme="minorEastAsia" w:hAnsiTheme="minorHAnsi" w:cstheme="minorBidi"/>
              <w:noProof/>
              <w:sz w:val="22"/>
              <w:szCs w:val="22"/>
              <w:lang w:val="en-US" w:eastAsia="en-US" w:bidi="ar-SA"/>
            </w:rPr>
          </w:pPr>
          <w:hyperlink w:anchor="_Toc117004149" w:history="1">
            <w:r w:rsidR="000E0AE9" w:rsidRPr="00F60C62">
              <w:rPr>
                <w:rStyle w:val="Hyperlink"/>
                <w:noProof/>
              </w:rPr>
              <w:t>2.1.2</w:t>
            </w:r>
            <w:r w:rsidR="000E0AE9">
              <w:rPr>
                <w:rFonts w:asciiTheme="minorHAnsi" w:eastAsiaTheme="minorEastAsia" w:hAnsiTheme="minorHAnsi" w:cstheme="minorBidi"/>
                <w:noProof/>
                <w:sz w:val="22"/>
                <w:szCs w:val="22"/>
                <w:lang w:val="en-US" w:eastAsia="en-US" w:bidi="ar-SA"/>
              </w:rPr>
              <w:tab/>
            </w:r>
            <w:r w:rsidR="000E0AE9" w:rsidRPr="00F60C62">
              <w:rPr>
                <w:rStyle w:val="Hyperlink"/>
                <w:noProof/>
              </w:rPr>
              <w:t>Реформа на јавната администрација</w:t>
            </w:r>
            <w:r w:rsidR="000E0AE9">
              <w:rPr>
                <w:noProof/>
                <w:webHidden/>
              </w:rPr>
              <w:tab/>
            </w:r>
            <w:r w:rsidR="000E0AE9">
              <w:rPr>
                <w:noProof/>
                <w:webHidden/>
              </w:rPr>
              <w:fldChar w:fldCharType="begin"/>
            </w:r>
            <w:r w:rsidR="000E0AE9">
              <w:rPr>
                <w:noProof/>
                <w:webHidden/>
              </w:rPr>
              <w:instrText xml:space="preserve"> PAGEREF _Toc117004149 \h </w:instrText>
            </w:r>
            <w:r w:rsidR="000E0AE9">
              <w:rPr>
                <w:noProof/>
                <w:webHidden/>
              </w:rPr>
            </w:r>
            <w:r w:rsidR="000E0AE9">
              <w:rPr>
                <w:noProof/>
                <w:webHidden/>
              </w:rPr>
              <w:fldChar w:fldCharType="separate"/>
            </w:r>
            <w:r w:rsidR="000E0AE9">
              <w:rPr>
                <w:noProof/>
                <w:webHidden/>
              </w:rPr>
              <w:t>14</w:t>
            </w:r>
            <w:r w:rsidR="000E0AE9">
              <w:rPr>
                <w:noProof/>
                <w:webHidden/>
              </w:rPr>
              <w:fldChar w:fldCharType="end"/>
            </w:r>
          </w:hyperlink>
        </w:p>
        <w:p w14:paraId="57926B5F"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50" w:history="1">
            <w:r w:rsidR="000E0AE9" w:rsidRPr="00F60C62">
              <w:rPr>
                <w:rStyle w:val="Hyperlink"/>
                <w:noProof/>
              </w:rPr>
              <w:t>2.2.</w:t>
            </w:r>
            <w:r w:rsidR="000E0AE9">
              <w:rPr>
                <w:rFonts w:asciiTheme="minorHAnsi" w:eastAsiaTheme="minorEastAsia" w:hAnsiTheme="minorHAnsi" w:cstheme="minorBidi"/>
                <w:b w:val="0"/>
                <w:smallCaps w:val="0"/>
                <w:noProof/>
                <w:sz w:val="22"/>
                <w:szCs w:val="22"/>
                <w:lang w:val="en-US" w:eastAsia="en-US" w:bidi="ar-SA"/>
              </w:rPr>
              <w:tab/>
            </w:r>
            <w:r w:rsidR="000E0AE9" w:rsidRPr="00F60C62">
              <w:rPr>
                <w:rStyle w:val="Hyperlink"/>
                <w:noProof/>
              </w:rPr>
              <w:t>Владеење на правото и фундаментални права</w:t>
            </w:r>
            <w:r w:rsidR="000E0AE9">
              <w:rPr>
                <w:noProof/>
                <w:webHidden/>
              </w:rPr>
              <w:tab/>
            </w:r>
            <w:r w:rsidR="000E0AE9">
              <w:rPr>
                <w:noProof/>
                <w:webHidden/>
              </w:rPr>
              <w:fldChar w:fldCharType="begin"/>
            </w:r>
            <w:r w:rsidR="000E0AE9">
              <w:rPr>
                <w:noProof/>
                <w:webHidden/>
              </w:rPr>
              <w:instrText xml:space="preserve"> PAGEREF _Toc117004150 \h </w:instrText>
            </w:r>
            <w:r w:rsidR="000E0AE9">
              <w:rPr>
                <w:noProof/>
                <w:webHidden/>
              </w:rPr>
            </w:r>
            <w:r w:rsidR="000E0AE9">
              <w:rPr>
                <w:noProof/>
                <w:webHidden/>
              </w:rPr>
              <w:fldChar w:fldCharType="separate"/>
            </w:r>
            <w:r w:rsidR="000E0AE9">
              <w:rPr>
                <w:noProof/>
                <w:webHidden/>
              </w:rPr>
              <w:t>19</w:t>
            </w:r>
            <w:r w:rsidR="000E0AE9">
              <w:rPr>
                <w:noProof/>
                <w:webHidden/>
              </w:rPr>
              <w:fldChar w:fldCharType="end"/>
            </w:r>
          </w:hyperlink>
        </w:p>
        <w:p w14:paraId="272DEE76" w14:textId="77777777" w:rsidR="000E0AE9" w:rsidRDefault="00000000">
          <w:pPr>
            <w:pStyle w:val="TOC3"/>
            <w:tabs>
              <w:tab w:val="left" w:pos="1815"/>
            </w:tabs>
            <w:rPr>
              <w:rFonts w:asciiTheme="minorHAnsi" w:eastAsiaTheme="minorEastAsia" w:hAnsiTheme="minorHAnsi" w:cstheme="minorBidi"/>
              <w:noProof/>
              <w:sz w:val="22"/>
              <w:szCs w:val="22"/>
              <w:lang w:val="en-US" w:eastAsia="en-US" w:bidi="ar-SA"/>
            </w:rPr>
          </w:pPr>
          <w:hyperlink w:anchor="_Toc117004151" w:history="1">
            <w:r w:rsidR="000E0AE9" w:rsidRPr="00F60C62">
              <w:rPr>
                <w:rStyle w:val="Hyperlink"/>
                <w:noProof/>
              </w:rPr>
              <w:t>2.2.1</w:t>
            </w:r>
            <w:r w:rsidR="000E0AE9">
              <w:rPr>
                <w:rFonts w:asciiTheme="minorHAnsi" w:eastAsiaTheme="minorEastAsia" w:hAnsiTheme="minorHAnsi" w:cstheme="minorBidi"/>
                <w:noProof/>
                <w:sz w:val="22"/>
                <w:szCs w:val="22"/>
                <w:lang w:val="en-US" w:eastAsia="en-US" w:bidi="ar-SA"/>
              </w:rPr>
              <w:tab/>
            </w:r>
            <w:r w:rsidR="000E0AE9" w:rsidRPr="00F60C62">
              <w:rPr>
                <w:rStyle w:val="Hyperlink"/>
                <w:noProof/>
              </w:rPr>
              <w:t>Поглавје 23: Правосудство и фундаментални права</w:t>
            </w:r>
            <w:r w:rsidR="000E0AE9">
              <w:rPr>
                <w:noProof/>
                <w:webHidden/>
              </w:rPr>
              <w:tab/>
            </w:r>
            <w:r w:rsidR="000E0AE9">
              <w:rPr>
                <w:noProof/>
                <w:webHidden/>
              </w:rPr>
              <w:fldChar w:fldCharType="begin"/>
            </w:r>
            <w:r w:rsidR="000E0AE9">
              <w:rPr>
                <w:noProof/>
                <w:webHidden/>
              </w:rPr>
              <w:instrText xml:space="preserve"> PAGEREF _Toc117004151 \h </w:instrText>
            </w:r>
            <w:r w:rsidR="000E0AE9">
              <w:rPr>
                <w:noProof/>
                <w:webHidden/>
              </w:rPr>
            </w:r>
            <w:r w:rsidR="000E0AE9">
              <w:rPr>
                <w:noProof/>
                <w:webHidden/>
              </w:rPr>
              <w:fldChar w:fldCharType="separate"/>
            </w:r>
            <w:r w:rsidR="000E0AE9">
              <w:rPr>
                <w:noProof/>
                <w:webHidden/>
              </w:rPr>
              <w:t>19</w:t>
            </w:r>
            <w:r w:rsidR="000E0AE9">
              <w:rPr>
                <w:noProof/>
                <w:webHidden/>
              </w:rPr>
              <w:fldChar w:fldCharType="end"/>
            </w:r>
          </w:hyperlink>
        </w:p>
        <w:p w14:paraId="2821DB44" w14:textId="77777777" w:rsidR="000E0AE9" w:rsidRDefault="00000000">
          <w:pPr>
            <w:pStyle w:val="TOC3"/>
            <w:tabs>
              <w:tab w:val="left" w:pos="1815"/>
            </w:tabs>
            <w:rPr>
              <w:rFonts w:asciiTheme="minorHAnsi" w:eastAsiaTheme="minorEastAsia" w:hAnsiTheme="minorHAnsi" w:cstheme="minorBidi"/>
              <w:noProof/>
              <w:sz w:val="22"/>
              <w:szCs w:val="22"/>
              <w:lang w:val="en-US" w:eastAsia="en-US" w:bidi="ar-SA"/>
            </w:rPr>
          </w:pPr>
          <w:hyperlink w:anchor="_Toc117004152" w:history="1">
            <w:r w:rsidR="000E0AE9" w:rsidRPr="00F60C62">
              <w:rPr>
                <w:rStyle w:val="Hyperlink"/>
                <w:noProof/>
              </w:rPr>
              <w:t>2.2.2</w:t>
            </w:r>
            <w:r w:rsidR="000E0AE9">
              <w:rPr>
                <w:rFonts w:asciiTheme="minorHAnsi" w:eastAsiaTheme="minorEastAsia" w:hAnsiTheme="minorHAnsi" w:cstheme="minorBidi"/>
                <w:noProof/>
                <w:sz w:val="22"/>
                <w:szCs w:val="22"/>
                <w:lang w:val="en-US" w:eastAsia="en-US" w:bidi="ar-SA"/>
              </w:rPr>
              <w:tab/>
            </w:r>
            <w:r w:rsidR="000E0AE9" w:rsidRPr="00F60C62">
              <w:rPr>
                <w:rStyle w:val="Hyperlink"/>
                <w:noProof/>
              </w:rPr>
              <w:t>Поглавје 24: Правда, слобода и безбедност</w:t>
            </w:r>
            <w:r w:rsidR="000E0AE9">
              <w:rPr>
                <w:noProof/>
                <w:webHidden/>
              </w:rPr>
              <w:tab/>
            </w:r>
            <w:r w:rsidR="000E0AE9">
              <w:rPr>
                <w:noProof/>
                <w:webHidden/>
              </w:rPr>
              <w:fldChar w:fldCharType="begin"/>
            </w:r>
            <w:r w:rsidR="000E0AE9">
              <w:rPr>
                <w:noProof/>
                <w:webHidden/>
              </w:rPr>
              <w:instrText xml:space="preserve"> PAGEREF _Toc117004152 \h </w:instrText>
            </w:r>
            <w:r w:rsidR="000E0AE9">
              <w:rPr>
                <w:noProof/>
                <w:webHidden/>
              </w:rPr>
            </w:r>
            <w:r w:rsidR="000E0AE9">
              <w:rPr>
                <w:noProof/>
                <w:webHidden/>
              </w:rPr>
              <w:fldChar w:fldCharType="separate"/>
            </w:r>
            <w:r w:rsidR="000E0AE9">
              <w:rPr>
                <w:noProof/>
                <w:webHidden/>
              </w:rPr>
              <w:t>43</w:t>
            </w:r>
            <w:r w:rsidR="000E0AE9">
              <w:rPr>
                <w:noProof/>
                <w:webHidden/>
              </w:rPr>
              <w:fldChar w:fldCharType="end"/>
            </w:r>
          </w:hyperlink>
        </w:p>
        <w:p w14:paraId="35E59499"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53" w:history="1">
            <w:r w:rsidR="000E0AE9" w:rsidRPr="00F60C62">
              <w:rPr>
                <w:rStyle w:val="Hyperlink"/>
                <w:rFonts w:ascii="Times New Roman" w:hAnsi="Times New Roman"/>
                <w:bCs/>
                <w:noProof/>
              </w:rPr>
              <w:t>2.3. Економски критериуми</w:t>
            </w:r>
            <w:r w:rsidR="000E0AE9">
              <w:rPr>
                <w:noProof/>
                <w:webHidden/>
              </w:rPr>
              <w:tab/>
            </w:r>
            <w:r w:rsidR="000E0AE9">
              <w:rPr>
                <w:noProof/>
                <w:webHidden/>
              </w:rPr>
              <w:fldChar w:fldCharType="begin"/>
            </w:r>
            <w:r w:rsidR="000E0AE9">
              <w:rPr>
                <w:noProof/>
                <w:webHidden/>
              </w:rPr>
              <w:instrText xml:space="preserve"> PAGEREF _Toc117004153 \h </w:instrText>
            </w:r>
            <w:r w:rsidR="000E0AE9">
              <w:rPr>
                <w:noProof/>
                <w:webHidden/>
              </w:rPr>
            </w:r>
            <w:r w:rsidR="000E0AE9">
              <w:rPr>
                <w:noProof/>
                <w:webHidden/>
              </w:rPr>
              <w:fldChar w:fldCharType="separate"/>
            </w:r>
            <w:r w:rsidR="000E0AE9">
              <w:rPr>
                <w:noProof/>
                <w:webHidden/>
              </w:rPr>
              <w:t>56</w:t>
            </w:r>
            <w:r w:rsidR="000E0AE9">
              <w:rPr>
                <w:noProof/>
                <w:webHidden/>
              </w:rPr>
              <w:fldChar w:fldCharType="end"/>
            </w:r>
          </w:hyperlink>
        </w:p>
        <w:p w14:paraId="438283B4"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54" w:history="1">
            <w:r w:rsidR="000E0AE9" w:rsidRPr="00F60C62">
              <w:rPr>
                <w:rStyle w:val="Hyperlink"/>
                <w:noProof/>
              </w:rPr>
              <w:t>2.3.1 Постоење функционална пазарна економија</w:t>
            </w:r>
            <w:r w:rsidR="000E0AE9">
              <w:rPr>
                <w:noProof/>
                <w:webHidden/>
              </w:rPr>
              <w:tab/>
            </w:r>
            <w:r w:rsidR="000E0AE9">
              <w:rPr>
                <w:noProof/>
                <w:webHidden/>
              </w:rPr>
              <w:fldChar w:fldCharType="begin"/>
            </w:r>
            <w:r w:rsidR="000E0AE9">
              <w:rPr>
                <w:noProof/>
                <w:webHidden/>
              </w:rPr>
              <w:instrText xml:space="preserve"> PAGEREF _Toc117004154 \h </w:instrText>
            </w:r>
            <w:r w:rsidR="000E0AE9">
              <w:rPr>
                <w:noProof/>
                <w:webHidden/>
              </w:rPr>
            </w:r>
            <w:r w:rsidR="000E0AE9">
              <w:rPr>
                <w:noProof/>
                <w:webHidden/>
              </w:rPr>
              <w:fldChar w:fldCharType="separate"/>
            </w:r>
            <w:r w:rsidR="000E0AE9">
              <w:rPr>
                <w:noProof/>
                <w:webHidden/>
              </w:rPr>
              <w:t>57</w:t>
            </w:r>
            <w:r w:rsidR="000E0AE9">
              <w:rPr>
                <w:noProof/>
                <w:webHidden/>
              </w:rPr>
              <w:fldChar w:fldCharType="end"/>
            </w:r>
          </w:hyperlink>
        </w:p>
        <w:p w14:paraId="01036D3B"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55" w:history="1">
            <w:r w:rsidR="000E0AE9" w:rsidRPr="00F60C62">
              <w:rPr>
                <w:rStyle w:val="Hyperlink"/>
                <w:noProof/>
              </w:rPr>
              <w:t>2.3.2. Капацитет за справување со конкурентскиот притисок и пазарните сили во рамки на Унијата</w:t>
            </w:r>
            <w:r w:rsidR="000E0AE9">
              <w:rPr>
                <w:noProof/>
                <w:webHidden/>
              </w:rPr>
              <w:tab/>
            </w:r>
            <w:r w:rsidR="000E0AE9">
              <w:rPr>
                <w:noProof/>
                <w:webHidden/>
              </w:rPr>
              <w:fldChar w:fldCharType="begin"/>
            </w:r>
            <w:r w:rsidR="000E0AE9">
              <w:rPr>
                <w:noProof/>
                <w:webHidden/>
              </w:rPr>
              <w:instrText xml:space="preserve"> PAGEREF _Toc117004155 \h </w:instrText>
            </w:r>
            <w:r w:rsidR="000E0AE9">
              <w:rPr>
                <w:noProof/>
                <w:webHidden/>
              </w:rPr>
            </w:r>
            <w:r w:rsidR="000E0AE9">
              <w:rPr>
                <w:noProof/>
                <w:webHidden/>
              </w:rPr>
              <w:fldChar w:fldCharType="separate"/>
            </w:r>
            <w:r w:rsidR="000E0AE9">
              <w:rPr>
                <w:noProof/>
                <w:webHidden/>
              </w:rPr>
              <w:t>66</w:t>
            </w:r>
            <w:r w:rsidR="000E0AE9">
              <w:rPr>
                <w:noProof/>
                <w:webHidden/>
              </w:rPr>
              <w:fldChar w:fldCharType="end"/>
            </w:r>
          </w:hyperlink>
        </w:p>
        <w:p w14:paraId="7B8225EE"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56" w:history="1">
            <w:r w:rsidR="000E0AE9" w:rsidRPr="00F60C62">
              <w:rPr>
                <w:rStyle w:val="Hyperlink"/>
                <w:noProof/>
              </w:rPr>
              <w:t>2.4.</w:t>
            </w:r>
            <w:r w:rsidR="000E0AE9">
              <w:rPr>
                <w:rFonts w:asciiTheme="minorHAnsi" w:eastAsiaTheme="minorEastAsia" w:hAnsiTheme="minorHAnsi" w:cstheme="minorBidi"/>
                <w:b w:val="0"/>
                <w:smallCaps w:val="0"/>
                <w:noProof/>
                <w:sz w:val="22"/>
                <w:szCs w:val="22"/>
                <w:lang w:val="en-US" w:eastAsia="en-US" w:bidi="ar-SA"/>
              </w:rPr>
              <w:tab/>
            </w:r>
            <w:r w:rsidR="000E0AE9" w:rsidRPr="00F60C62">
              <w:rPr>
                <w:rStyle w:val="Hyperlink"/>
                <w:noProof/>
              </w:rPr>
              <w:t>Јавни набавки, статистика; Финансиска контрола</w:t>
            </w:r>
            <w:r w:rsidR="000E0AE9">
              <w:rPr>
                <w:noProof/>
                <w:webHidden/>
              </w:rPr>
              <w:tab/>
            </w:r>
            <w:r w:rsidR="000E0AE9">
              <w:rPr>
                <w:noProof/>
                <w:webHidden/>
              </w:rPr>
              <w:fldChar w:fldCharType="begin"/>
            </w:r>
            <w:r w:rsidR="000E0AE9">
              <w:rPr>
                <w:noProof/>
                <w:webHidden/>
              </w:rPr>
              <w:instrText xml:space="preserve"> PAGEREF _Toc117004156 \h </w:instrText>
            </w:r>
            <w:r w:rsidR="000E0AE9">
              <w:rPr>
                <w:noProof/>
                <w:webHidden/>
              </w:rPr>
            </w:r>
            <w:r w:rsidR="000E0AE9">
              <w:rPr>
                <w:noProof/>
                <w:webHidden/>
              </w:rPr>
              <w:fldChar w:fldCharType="separate"/>
            </w:r>
            <w:r w:rsidR="000E0AE9">
              <w:rPr>
                <w:noProof/>
                <w:webHidden/>
              </w:rPr>
              <w:t>70</w:t>
            </w:r>
            <w:r w:rsidR="000E0AE9">
              <w:rPr>
                <w:noProof/>
                <w:webHidden/>
              </w:rPr>
              <w:fldChar w:fldCharType="end"/>
            </w:r>
          </w:hyperlink>
        </w:p>
        <w:p w14:paraId="4AF60FD3"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57" w:history="1">
            <w:r w:rsidR="000E0AE9" w:rsidRPr="00F60C62">
              <w:rPr>
                <w:rStyle w:val="Hyperlink"/>
                <w:noProof/>
              </w:rPr>
              <w:t>Поглавје 5: Јавни набавки</w:t>
            </w:r>
            <w:r w:rsidR="000E0AE9">
              <w:rPr>
                <w:noProof/>
                <w:webHidden/>
              </w:rPr>
              <w:tab/>
            </w:r>
            <w:r w:rsidR="000E0AE9">
              <w:rPr>
                <w:noProof/>
                <w:webHidden/>
              </w:rPr>
              <w:fldChar w:fldCharType="begin"/>
            </w:r>
            <w:r w:rsidR="000E0AE9">
              <w:rPr>
                <w:noProof/>
                <w:webHidden/>
              </w:rPr>
              <w:instrText xml:space="preserve"> PAGEREF _Toc117004157 \h </w:instrText>
            </w:r>
            <w:r w:rsidR="000E0AE9">
              <w:rPr>
                <w:noProof/>
                <w:webHidden/>
              </w:rPr>
            </w:r>
            <w:r w:rsidR="000E0AE9">
              <w:rPr>
                <w:noProof/>
                <w:webHidden/>
              </w:rPr>
              <w:fldChar w:fldCharType="separate"/>
            </w:r>
            <w:r w:rsidR="000E0AE9">
              <w:rPr>
                <w:noProof/>
                <w:webHidden/>
              </w:rPr>
              <w:t>70</w:t>
            </w:r>
            <w:r w:rsidR="000E0AE9">
              <w:rPr>
                <w:noProof/>
                <w:webHidden/>
              </w:rPr>
              <w:fldChar w:fldCharType="end"/>
            </w:r>
          </w:hyperlink>
        </w:p>
        <w:p w14:paraId="5CC9FA7A"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58" w:history="1">
            <w:r w:rsidR="000E0AE9" w:rsidRPr="00F60C62">
              <w:rPr>
                <w:rStyle w:val="Hyperlink"/>
                <w:noProof/>
              </w:rPr>
              <w:t>Поглавје 18: Статистика</w:t>
            </w:r>
            <w:r w:rsidR="000E0AE9">
              <w:rPr>
                <w:noProof/>
                <w:webHidden/>
              </w:rPr>
              <w:tab/>
            </w:r>
            <w:r w:rsidR="000E0AE9">
              <w:rPr>
                <w:noProof/>
                <w:webHidden/>
              </w:rPr>
              <w:fldChar w:fldCharType="begin"/>
            </w:r>
            <w:r w:rsidR="000E0AE9">
              <w:rPr>
                <w:noProof/>
                <w:webHidden/>
              </w:rPr>
              <w:instrText xml:space="preserve"> PAGEREF _Toc117004158 \h </w:instrText>
            </w:r>
            <w:r w:rsidR="000E0AE9">
              <w:rPr>
                <w:noProof/>
                <w:webHidden/>
              </w:rPr>
            </w:r>
            <w:r w:rsidR="000E0AE9">
              <w:rPr>
                <w:noProof/>
                <w:webHidden/>
              </w:rPr>
              <w:fldChar w:fldCharType="separate"/>
            </w:r>
            <w:r w:rsidR="000E0AE9">
              <w:rPr>
                <w:noProof/>
                <w:webHidden/>
              </w:rPr>
              <w:t>71</w:t>
            </w:r>
            <w:r w:rsidR="000E0AE9">
              <w:rPr>
                <w:noProof/>
                <w:webHidden/>
              </w:rPr>
              <w:fldChar w:fldCharType="end"/>
            </w:r>
          </w:hyperlink>
        </w:p>
        <w:p w14:paraId="4B9AF894"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59" w:history="1">
            <w:r w:rsidR="000E0AE9" w:rsidRPr="00F60C62">
              <w:rPr>
                <w:rStyle w:val="Hyperlink"/>
                <w:noProof/>
              </w:rPr>
              <w:t>Поглавје 32: Финансиска контрола</w:t>
            </w:r>
            <w:r w:rsidR="000E0AE9">
              <w:rPr>
                <w:noProof/>
                <w:webHidden/>
              </w:rPr>
              <w:tab/>
            </w:r>
            <w:r w:rsidR="000E0AE9">
              <w:rPr>
                <w:noProof/>
                <w:webHidden/>
              </w:rPr>
              <w:fldChar w:fldCharType="begin"/>
            </w:r>
            <w:r w:rsidR="000E0AE9">
              <w:rPr>
                <w:noProof/>
                <w:webHidden/>
              </w:rPr>
              <w:instrText xml:space="preserve"> PAGEREF _Toc117004159 \h </w:instrText>
            </w:r>
            <w:r w:rsidR="000E0AE9">
              <w:rPr>
                <w:noProof/>
                <w:webHidden/>
              </w:rPr>
            </w:r>
            <w:r w:rsidR="000E0AE9">
              <w:rPr>
                <w:noProof/>
                <w:webHidden/>
              </w:rPr>
              <w:fldChar w:fldCharType="separate"/>
            </w:r>
            <w:r w:rsidR="000E0AE9">
              <w:rPr>
                <w:noProof/>
                <w:webHidden/>
              </w:rPr>
              <w:t>74</w:t>
            </w:r>
            <w:r w:rsidR="000E0AE9">
              <w:rPr>
                <w:noProof/>
                <w:webHidden/>
              </w:rPr>
              <w:fldChar w:fldCharType="end"/>
            </w:r>
          </w:hyperlink>
        </w:p>
        <w:p w14:paraId="133F32F0" w14:textId="77777777" w:rsidR="000E0AE9" w:rsidRDefault="00000000">
          <w:pPr>
            <w:pStyle w:val="TOC1"/>
            <w:rPr>
              <w:rFonts w:asciiTheme="minorHAnsi" w:eastAsiaTheme="minorEastAsia" w:hAnsiTheme="minorHAnsi" w:cstheme="minorBidi"/>
              <w:b w:val="0"/>
              <w:caps w:val="0"/>
              <w:noProof/>
              <w:sz w:val="22"/>
              <w:szCs w:val="22"/>
              <w:lang w:val="en-US" w:eastAsia="en-US" w:bidi="ar-SA"/>
            </w:rPr>
          </w:pPr>
          <w:hyperlink w:anchor="_Toc117004160" w:history="1">
            <w:r w:rsidR="000E0AE9" w:rsidRPr="00F60C62">
              <w:rPr>
                <w:rStyle w:val="Hyperlink"/>
                <w:rFonts w:ascii="Times New Roman" w:hAnsi="Times New Roman"/>
                <w:noProof/>
              </w:rPr>
              <w:t>3.</w:t>
            </w:r>
            <w:r w:rsidR="000E0AE9">
              <w:rPr>
                <w:rFonts w:asciiTheme="minorHAnsi" w:eastAsiaTheme="minorEastAsia" w:hAnsiTheme="minorHAnsi" w:cstheme="minorBidi"/>
                <w:b w:val="0"/>
                <w:caps w:val="0"/>
                <w:noProof/>
                <w:sz w:val="22"/>
                <w:szCs w:val="22"/>
                <w:lang w:val="en-US" w:eastAsia="en-US" w:bidi="ar-SA"/>
              </w:rPr>
              <w:tab/>
            </w:r>
            <w:r w:rsidR="000E0AE9" w:rsidRPr="00F60C62">
              <w:rPr>
                <w:rStyle w:val="Hyperlink"/>
                <w:rFonts w:ascii="Times New Roman" w:hAnsi="Times New Roman"/>
                <w:noProof/>
              </w:rPr>
              <w:t>Добрососедски односи и регионална соработка</w:t>
            </w:r>
            <w:r w:rsidR="000E0AE9">
              <w:rPr>
                <w:noProof/>
                <w:webHidden/>
              </w:rPr>
              <w:tab/>
            </w:r>
            <w:r w:rsidR="000E0AE9">
              <w:rPr>
                <w:noProof/>
                <w:webHidden/>
              </w:rPr>
              <w:fldChar w:fldCharType="begin"/>
            </w:r>
            <w:r w:rsidR="000E0AE9">
              <w:rPr>
                <w:noProof/>
                <w:webHidden/>
              </w:rPr>
              <w:instrText xml:space="preserve"> PAGEREF _Toc117004160 \h </w:instrText>
            </w:r>
            <w:r w:rsidR="000E0AE9">
              <w:rPr>
                <w:noProof/>
                <w:webHidden/>
              </w:rPr>
            </w:r>
            <w:r w:rsidR="000E0AE9">
              <w:rPr>
                <w:noProof/>
                <w:webHidden/>
              </w:rPr>
              <w:fldChar w:fldCharType="separate"/>
            </w:r>
            <w:r w:rsidR="000E0AE9">
              <w:rPr>
                <w:noProof/>
                <w:webHidden/>
              </w:rPr>
              <w:t>77</w:t>
            </w:r>
            <w:r w:rsidR="000E0AE9">
              <w:rPr>
                <w:noProof/>
                <w:webHidden/>
              </w:rPr>
              <w:fldChar w:fldCharType="end"/>
            </w:r>
          </w:hyperlink>
        </w:p>
        <w:p w14:paraId="7A91ED9C" w14:textId="77777777" w:rsidR="000E0AE9" w:rsidRDefault="00000000">
          <w:pPr>
            <w:pStyle w:val="TOC1"/>
            <w:rPr>
              <w:rFonts w:asciiTheme="minorHAnsi" w:eastAsiaTheme="minorEastAsia" w:hAnsiTheme="minorHAnsi" w:cstheme="minorBidi"/>
              <w:b w:val="0"/>
              <w:caps w:val="0"/>
              <w:noProof/>
              <w:sz w:val="22"/>
              <w:szCs w:val="22"/>
              <w:lang w:val="en-US" w:eastAsia="en-US" w:bidi="ar-SA"/>
            </w:rPr>
          </w:pPr>
          <w:hyperlink w:anchor="_Toc117004161" w:history="1">
            <w:r w:rsidR="000E0AE9" w:rsidRPr="00F60C62">
              <w:rPr>
                <w:rStyle w:val="Hyperlink"/>
                <w:rFonts w:ascii="Times New Roman" w:hAnsi="Times New Roman"/>
                <w:bCs/>
                <w:smallCaps/>
                <w:noProof/>
              </w:rPr>
              <w:t>4.</w:t>
            </w:r>
            <w:r w:rsidR="000E0AE9">
              <w:rPr>
                <w:rFonts w:asciiTheme="minorHAnsi" w:eastAsiaTheme="minorEastAsia" w:hAnsiTheme="minorHAnsi" w:cstheme="minorBidi"/>
                <w:b w:val="0"/>
                <w:caps w:val="0"/>
                <w:noProof/>
                <w:sz w:val="22"/>
                <w:szCs w:val="22"/>
                <w:lang w:val="en-US" w:eastAsia="en-US" w:bidi="ar-SA"/>
              </w:rPr>
              <w:tab/>
            </w:r>
            <w:r w:rsidR="000E0AE9" w:rsidRPr="00F60C62">
              <w:rPr>
                <w:rStyle w:val="Hyperlink"/>
                <w:rFonts w:ascii="Times New Roman" w:hAnsi="Times New Roman"/>
                <w:bCs/>
                <w:smallCaps/>
                <w:noProof/>
              </w:rPr>
              <w:t>Способност за преземање на одговорностите на членството</w:t>
            </w:r>
            <w:r w:rsidR="000E0AE9">
              <w:rPr>
                <w:noProof/>
                <w:webHidden/>
              </w:rPr>
              <w:tab/>
            </w:r>
            <w:r w:rsidR="000E0AE9">
              <w:rPr>
                <w:noProof/>
                <w:webHidden/>
              </w:rPr>
              <w:fldChar w:fldCharType="begin"/>
            </w:r>
            <w:r w:rsidR="000E0AE9">
              <w:rPr>
                <w:noProof/>
                <w:webHidden/>
              </w:rPr>
              <w:instrText xml:space="preserve"> PAGEREF _Toc117004161 \h </w:instrText>
            </w:r>
            <w:r w:rsidR="000E0AE9">
              <w:rPr>
                <w:noProof/>
                <w:webHidden/>
              </w:rPr>
            </w:r>
            <w:r w:rsidR="000E0AE9">
              <w:rPr>
                <w:noProof/>
                <w:webHidden/>
              </w:rPr>
              <w:fldChar w:fldCharType="separate"/>
            </w:r>
            <w:r w:rsidR="000E0AE9">
              <w:rPr>
                <w:noProof/>
                <w:webHidden/>
              </w:rPr>
              <w:t>80</w:t>
            </w:r>
            <w:r w:rsidR="000E0AE9">
              <w:rPr>
                <w:noProof/>
                <w:webHidden/>
              </w:rPr>
              <w:fldChar w:fldCharType="end"/>
            </w:r>
          </w:hyperlink>
        </w:p>
        <w:p w14:paraId="4B55845D"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62" w:history="1">
            <w:r w:rsidR="000E0AE9" w:rsidRPr="00F60C62">
              <w:rPr>
                <w:rStyle w:val="Hyperlink"/>
                <w:noProof/>
              </w:rPr>
              <w:t>Кластер 2: Внатрешен пазар</w:t>
            </w:r>
            <w:r w:rsidR="000E0AE9">
              <w:rPr>
                <w:noProof/>
                <w:webHidden/>
              </w:rPr>
              <w:tab/>
            </w:r>
            <w:r w:rsidR="000E0AE9">
              <w:rPr>
                <w:noProof/>
                <w:webHidden/>
              </w:rPr>
              <w:fldChar w:fldCharType="begin"/>
            </w:r>
            <w:r w:rsidR="000E0AE9">
              <w:rPr>
                <w:noProof/>
                <w:webHidden/>
              </w:rPr>
              <w:instrText xml:space="preserve"> PAGEREF _Toc117004162 \h </w:instrText>
            </w:r>
            <w:r w:rsidR="000E0AE9">
              <w:rPr>
                <w:noProof/>
                <w:webHidden/>
              </w:rPr>
            </w:r>
            <w:r w:rsidR="000E0AE9">
              <w:rPr>
                <w:noProof/>
                <w:webHidden/>
              </w:rPr>
              <w:fldChar w:fldCharType="separate"/>
            </w:r>
            <w:r w:rsidR="000E0AE9">
              <w:rPr>
                <w:noProof/>
                <w:webHidden/>
              </w:rPr>
              <w:t>80</w:t>
            </w:r>
            <w:r w:rsidR="000E0AE9">
              <w:rPr>
                <w:noProof/>
                <w:webHidden/>
              </w:rPr>
              <w:fldChar w:fldCharType="end"/>
            </w:r>
          </w:hyperlink>
        </w:p>
        <w:p w14:paraId="2AC3C605"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3" w:history="1">
            <w:r w:rsidR="000E0AE9" w:rsidRPr="00F60C62">
              <w:rPr>
                <w:rStyle w:val="Hyperlink"/>
                <w:noProof/>
              </w:rPr>
              <w:t>Поглавје 1: Слободно движење на стоки</w:t>
            </w:r>
            <w:r w:rsidR="000E0AE9">
              <w:rPr>
                <w:noProof/>
                <w:webHidden/>
              </w:rPr>
              <w:tab/>
            </w:r>
            <w:r w:rsidR="000E0AE9">
              <w:rPr>
                <w:noProof/>
                <w:webHidden/>
              </w:rPr>
              <w:fldChar w:fldCharType="begin"/>
            </w:r>
            <w:r w:rsidR="000E0AE9">
              <w:rPr>
                <w:noProof/>
                <w:webHidden/>
              </w:rPr>
              <w:instrText xml:space="preserve"> PAGEREF _Toc117004163 \h </w:instrText>
            </w:r>
            <w:r w:rsidR="000E0AE9">
              <w:rPr>
                <w:noProof/>
                <w:webHidden/>
              </w:rPr>
            </w:r>
            <w:r w:rsidR="000E0AE9">
              <w:rPr>
                <w:noProof/>
                <w:webHidden/>
              </w:rPr>
              <w:fldChar w:fldCharType="separate"/>
            </w:r>
            <w:r w:rsidR="000E0AE9">
              <w:rPr>
                <w:noProof/>
                <w:webHidden/>
              </w:rPr>
              <w:t>80</w:t>
            </w:r>
            <w:r w:rsidR="000E0AE9">
              <w:rPr>
                <w:noProof/>
                <w:webHidden/>
              </w:rPr>
              <w:fldChar w:fldCharType="end"/>
            </w:r>
          </w:hyperlink>
        </w:p>
        <w:p w14:paraId="33906650"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4" w:history="1">
            <w:r w:rsidR="000E0AE9" w:rsidRPr="00F60C62">
              <w:rPr>
                <w:rStyle w:val="Hyperlink"/>
                <w:noProof/>
              </w:rPr>
              <w:t>Поглавје 2: Слободно движење на работници</w:t>
            </w:r>
            <w:r w:rsidR="000E0AE9">
              <w:rPr>
                <w:noProof/>
                <w:webHidden/>
              </w:rPr>
              <w:tab/>
            </w:r>
            <w:r w:rsidR="000E0AE9">
              <w:rPr>
                <w:noProof/>
                <w:webHidden/>
              </w:rPr>
              <w:fldChar w:fldCharType="begin"/>
            </w:r>
            <w:r w:rsidR="000E0AE9">
              <w:rPr>
                <w:noProof/>
                <w:webHidden/>
              </w:rPr>
              <w:instrText xml:space="preserve"> PAGEREF _Toc117004164 \h </w:instrText>
            </w:r>
            <w:r w:rsidR="000E0AE9">
              <w:rPr>
                <w:noProof/>
                <w:webHidden/>
              </w:rPr>
            </w:r>
            <w:r w:rsidR="000E0AE9">
              <w:rPr>
                <w:noProof/>
                <w:webHidden/>
              </w:rPr>
              <w:fldChar w:fldCharType="separate"/>
            </w:r>
            <w:r w:rsidR="000E0AE9">
              <w:rPr>
                <w:noProof/>
                <w:webHidden/>
              </w:rPr>
              <w:t>82</w:t>
            </w:r>
            <w:r w:rsidR="000E0AE9">
              <w:rPr>
                <w:noProof/>
                <w:webHidden/>
              </w:rPr>
              <w:fldChar w:fldCharType="end"/>
            </w:r>
          </w:hyperlink>
        </w:p>
        <w:p w14:paraId="45B1E341"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5" w:history="1">
            <w:r w:rsidR="000E0AE9" w:rsidRPr="00F60C62">
              <w:rPr>
                <w:rStyle w:val="Hyperlink"/>
                <w:noProof/>
              </w:rPr>
              <w:t>Поглавје 3: Право на основање и слобода на давање услуги</w:t>
            </w:r>
            <w:r w:rsidR="000E0AE9">
              <w:rPr>
                <w:noProof/>
                <w:webHidden/>
              </w:rPr>
              <w:tab/>
            </w:r>
            <w:r w:rsidR="000E0AE9">
              <w:rPr>
                <w:noProof/>
                <w:webHidden/>
              </w:rPr>
              <w:fldChar w:fldCharType="begin"/>
            </w:r>
            <w:r w:rsidR="000E0AE9">
              <w:rPr>
                <w:noProof/>
                <w:webHidden/>
              </w:rPr>
              <w:instrText xml:space="preserve"> PAGEREF _Toc117004165 \h </w:instrText>
            </w:r>
            <w:r w:rsidR="000E0AE9">
              <w:rPr>
                <w:noProof/>
                <w:webHidden/>
              </w:rPr>
            </w:r>
            <w:r w:rsidR="000E0AE9">
              <w:rPr>
                <w:noProof/>
                <w:webHidden/>
              </w:rPr>
              <w:fldChar w:fldCharType="separate"/>
            </w:r>
            <w:r w:rsidR="000E0AE9">
              <w:rPr>
                <w:noProof/>
                <w:webHidden/>
              </w:rPr>
              <w:t>83</w:t>
            </w:r>
            <w:r w:rsidR="000E0AE9">
              <w:rPr>
                <w:noProof/>
                <w:webHidden/>
              </w:rPr>
              <w:fldChar w:fldCharType="end"/>
            </w:r>
          </w:hyperlink>
        </w:p>
        <w:p w14:paraId="5468066F"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6" w:history="1">
            <w:r w:rsidR="000E0AE9" w:rsidRPr="00F60C62">
              <w:rPr>
                <w:rStyle w:val="Hyperlink"/>
                <w:noProof/>
              </w:rPr>
              <w:t>Поглавје 4: Слободно движење на капитал</w:t>
            </w:r>
            <w:r w:rsidR="000E0AE9">
              <w:rPr>
                <w:noProof/>
                <w:webHidden/>
              </w:rPr>
              <w:tab/>
            </w:r>
            <w:r w:rsidR="000E0AE9">
              <w:rPr>
                <w:noProof/>
                <w:webHidden/>
              </w:rPr>
              <w:fldChar w:fldCharType="begin"/>
            </w:r>
            <w:r w:rsidR="000E0AE9">
              <w:rPr>
                <w:noProof/>
                <w:webHidden/>
              </w:rPr>
              <w:instrText xml:space="preserve"> PAGEREF _Toc117004166 \h </w:instrText>
            </w:r>
            <w:r w:rsidR="000E0AE9">
              <w:rPr>
                <w:noProof/>
                <w:webHidden/>
              </w:rPr>
            </w:r>
            <w:r w:rsidR="000E0AE9">
              <w:rPr>
                <w:noProof/>
                <w:webHidden/>
              </w:rPr>
              <w:fldChar w:fldCharType="separate"/>
            </w:r>
            <w:r w:rsidR="000E0AE9">
              <w:rPr>
                <w:noProof/>
                <w:webHidden/>
              </w:rPr>
              <w:t>84</w:t>
            </w:r>
            <w:r w:rsidR="000E0AE9">
              <w:rPr>
                <w:noProof/>
                <w:webHidden/>
              </w:rPr>
              <w:fldChar w:fldCharType="end"/>
            </w:r>
          </w:hyperlink>
        </w:p>
        <w:p w14:paraId="35CBB7A7"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7" w:history="1">
            <w:r w:rsidR="000E0AE9" w:rsidRPr="00F60C62">
              <w:rPr>
                <w:rStyle w:val="Hyperlink"/>
                <w:noProof/>
              </w:rPr>
              <w:t>Поглавје 6: Право на трговски друштва</w:t>
            </w:r>
            <w:r w:rsidR="000E0AE9">
              <w:rPr>
                <w:noProof/>
                <w:webHidden/>
              </w:rPr>
              <w:tab/>
            </w:r>
            <w:r w:rsidR="000E0AE9">
              <w:rPr>
                <w:noProof/>
                <w:webHidden/>
              </w:rPr>
              <w:fldChar w:fldCharType="begin"/>
            </w:r>
            <w:r w:rsidR="000E0AE9">
              <w:rPr>
                <w:noProof/>
                <w:webHidden/>
              </w:rPr>
              <w:instrText xml:space="preserve"> PAGEREF _Toc117004167 \h </w:instrText>
            </w:r>
            <w:r w:rsidR="000E0AE9">
              <w:rPr>
                <w:noProof/>
                <w:webHidden/>
              </w:rPr>
            </w:r>
            <w:r w:rsidR="000E0AE9">
              <w:rPr>
                <w:noProof/>
                <w:webHidden/>
              </w:rPr>
              <w:fldChar w:fldCharType="separate"/>
            </w:r>
            <w:r w:rsidR="000E0AE9">
              <w:rPr>
                <w:noProof/>
                <w:webHidden/>
              </w:rPr>
              <w:t>85</w:t>
            </w:r>
            <w:r w:rsidR="000E0AE9">
              <w:rPr>
                <w:noProof/>
                <w:webHidden/>
              </w:rPr>
              <w:fldChar w:fldCharType="end"/>
            </w:r>
          </w:hyperlink>
        </w:p>
        <w:p w14:paraId="635147A6"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8" w:history="1">
            <w:r w:rsidR="000E0AE9" w:rsidRPr="00F60C62">
              <w:rPr>
                <w:rStyle w:val="Hyperlink"/>
                <w:noProof/>
              </w:rPr>
              <w:t>Поглавје 7: Право на интелектуална сопственост</w:t>
            </w:r>
            <w:r w:rsidR="000E0AE9">
              <w:rPr>
                <w:noProof/>
                <w:webHidden/>
              </w:rPr>
              <w:tab/>
            </w:r>
            <w:r w:rsidR="000E0AE9">
              <w:rPr>
                <w:noProof/>
                <w:webHidden/>
              </w:rPr>
              <w:fldChar w:fldCharType="begin"/>
            </w:r>
            <w:r w:rsidR="000E0AE9">
              <w:rPr>
                <w:noProof/>
                <w:webHidden/>
              </w:rPr>
              <w:instrText xml:space="preserve"> PAGEREF _Toc117004168 \h </w:instrText>
            </w:r>
            <w:r w:rsidR="000E0AE9">
              <w:rPr>
                <w:noProof/>
                <w:webHidden/>
              </w:rPr>
            </w:r>
            <w:r w:rsidR="000E0AE9">
              <w:rPr>
                <w:noProof/>
                <w:webHidden/>
              </w:rPr>
              <w:fldChar w:fldCharType="separate"/>
            </w:r>
            <w:r w:rsidR="000E0AE9">
              <w:rPr>
                <w:noProof/>
                <w:webHidden/>
              </w:rPr>
              <w:t>86</w:t>
            </w:r>
            <w:r w:rsidR="000E0AE9">
              <w:rPr>
                <w:noProof/>
                <w:webHidden/>
              </w:rPr>
              <w:fldChar w:fldCharType="end"/>
            </w:r>
          </w:hyperlink>
        </w:p>
        <w:p w14:paraId="40369E2C"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69" w:history="1">
            <w:r w:rsidR="000E0AE9" w:rsidRPr="00F60C62">
              <w:rPr>
                <w:rStyle w:val="Hyperlink"/>
                <w:noProof/>
              </w:rPr>
              <w:t>Поглавје 8: Политика на конкуренција</w:t>
            </w:r>
            <w:r w:rsidR="000E0AE9">
              <w:rPr>
                <w:noProof/>
                <w:webHidden/>
              </w:rPr>
              <w:tab/>
            </w:r>
            <w:r w:rsidR="000E0AE9">
              <w:rPr>
                <w:noProof/>
                <w:webHidden/>
              </w:rPr>
              <w:fldChar w:fldCharType="begin"/>
            </w:r>
            <w:r w:rsidR="000E0AE9">
              <w:rPr>
                <w:noProof/>
                <w:webHidden/>
              </w:rPr>
              <w:instrText xml:space="preserve"> PAGEREF _Toc117004169 \h </w:instrText>
            </w:r>
            <w:r w:rsidR="000E0AE9">
              <w:rPr>
                <w:noProof/>
                <w:webHidden/>
              </w:rPr>
            </w:r>
            <w:r w:rsidR="000E0AE9">
              <w:rPr>
                <w:noProof/>
                <w:webHidden/>
              </w:rPr>
              <w:fldChar w:fldCharType="separate"/>
            </w:r>
            <w:r w:rsidR="000E0AE9">
              <w:rPr>
                <w:noProof/>
                <w:webHidden/>
              </w:rPr>
              <w:t>87</w:t>
            </w:r>
            <w:r w:rsidR="000E0AE9">
              <w:rPr>
                <w:noProof/>
                <w:webHidden/>
              </w:rPr>
              <w:fldChar w:fldCharType="end"/>
            </w:r>
          </w:hyperlink>
        </w:p>
        <w:p w14:paraId="0A5EC2EC"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0" w:history="1">
            <w:r w:rsidR="000E0AE9" w:rsidRPr="00F60C62">
              <w:rPr>
                <w:rStyle w:val="Hyperlink"/>
                <w:noProof/>
              </w:rPr>
              <w:t>Поглавје 9: Финансиски услуги</w:t>
            </w:r>
            <w:r w:rsidR="000E0AE9">
              <w:rPr>
                <w:noProof/>
                <w:webHidden/>
              </w:rPr>
              <w:tab/>
            </w:r>
            <w:r w:rsidR="000E0AE9">
              <w:rPr>
                <w:noProof/>
                <w:webHidden/>
              </w:rPr>
              <w:fldChar w:fldCharType="begin"/>
            </w:r>
            <w:r w:rsidR="000E0AE9">
              <w:rPr>
                <w:noProof/>
                <w:webHidden/>
              </w:rPr>
              <w:instrText xml:space="preserve"> PAGEREF _Toc117004170 \h </w:instrText>
            </w:r>
            <w:r w:rsidR="000E0AE9">
              <w:rPr>
                <w:noProof/>
                <w:webHidden/>
              </w:rPr>
            </w:r>
            <w:r w:rsidR="000E0AE9">
              <w:rPr>
                <w:noProof/>
                <w:webHidden/>
              </w:rPr>
              <w:fldChar w:fldCharType="separate"/>
            </w:r>
            <w:r w:rsidR="000E0AE9">
              <w:rPr>
                <w:noProof/>
                <w:webHidden/>
              </w:rPr>
              <w:t>88</w:t>
            </w:r>
            <w:r w:rsidR="000E0AE9">
              <w:rPr>
                <w:noProof/>
                <w:webHidden/>
              </w:rPr>
              <w:fldChar w:fldCharType="end"/>
            </w:r>
          </w:hyperlink>
        </w:p>
        <w:p w14:paraId="70688F67"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1" w:history="1">
            <w:r w:rsidR="000E0AE9" w:rsidRPr="00F60C62">
              <w:rPr>
                <w:rStyle w:val="Hyperlink"/>
                <w:noProof/>
              </w:rPr>
              <w:t>Поглавје 28: Заштита на потрошувачи и здравствена заштита</w:t>
            </w:r>
            <w:r w:rsidR="000E0AE9">
              <w:rPr>
                <w:noProof/>
                <w:webHidden/>
              </w:rPr>
              <w:tab/>
            </w:r>
            <w:r w:rsidR="000E0AE9">
              <w:rPr>
                <w:noProof/>
                <w:webHidden/>
              </w:rPr>
              <w:fldChar w:fldCharType="begin"/>
            </w:r>
            <w:r w:rsidR="000E0AE9">
              <w:rPr>
                <w:noProof/>
                <w:webHidden/>
              </w:rPr>
              <w:instrText xml:space="preserve"> PAGEREF _Toc117004171 \h </w:instrText>
            </w:r>
            <w:r w:rsidR="000E0AE9">
              <w:rPr>
                <w:noProof/>
                <w:webHidden/>
              </w:rPr>
            </w:r>
            <w:r w:rsidR="000E0AE9">
              <w:rPr>
                <w:noProof/>
                <w:webHidden/>
              </w:rPr>
              <w:fldChar w:fldCharType="separate"/>
            </w:r>
            <w:r w:rsidR="000E0AE9">
              <w:rPr>
                <w:noProof/>
                <w:webHidden/>
              </w:rPr>
              <w:t>89</w:t>
            </w:r>
            <w:r w:rsidR="000E0AE9">
              <w:rPr>
                <w:noProof/>
                <w:webHidden/>
              </w:rPr>
              <w:fldChar w:fldCharType="end"/>
            </w:r>
          </w:hyperlink>
        </w:p>
        <w:p w14:paraId="7652610B"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72" w:history="1">
            <w:r w:rsidR="000E0AE9" w:rsidRPr="00F60C62">
              <w:rPr>
                <w:rStyle w:val="Hyperlink"/>
                <w:noProof/>
              </w:rPr>
              <w:t>Кластер 3: Конкурентност и инклузивен раст</w:t>
            </w:r>
            <w:r w:rsidR="000E0AE9">
              <w:rPr>
                <w:noProof/>
                <w:webHidden/>
              </w:rPr>
              <w:tab/>
            </w:r>
            <w:r w:rsidR="000E0AE9">
              <w:rPr>
                <w:noProof/>
                <w:webHidden/>
              </w:rPr>
              <w:fldChar w:fldCharType="begin"/>
            </w:r>
            <w:r w:rsidR="000E0AE9">
              <w:rPr>
                <w:noProof/>
                <w:webHidden/>
              </w:rPr>
              <w:instrText xml:space="preserve"> PAGEREF _Toc117004172 \h </w:instrText>
            </w:r>
            <w:r w:rsidR="000E0AE9">
              <w:rPr>
                <w:noProof/>
                <w:webHidden/>
              </w:rPr>
            </w:r>
            <w:r w:rsidR="000E0AE9">
              <w:rPr>
                <w:noProof/>
                <w:webHidden/>
              </w:rPr>
              <w:fldChar w:fldCharType="separate"/>
            </w:r>
            <w:r w:rsidR="000E0AE9">
              <w:rPr>
                <w:noProof/>
                <w:webHidden/>
              </w:rPr>
              <w:t>92</w:t>
            </w:r>
            <w:r w:rsidR="000E0AE9">
              <w:rPr>
                <w:noProof/>
                <w:webHidden/>
              </w:rPr>
              <w:fldChar w:fldCharType="end"/>
            </w:r>
          </w:hyperlink>
        </w:p>
        <w:p w14:paraId="5161E24C"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3" w:history="1">
            <w:r w:rsidR="000E0AE9" w:rsidRPr="00F60C62">
              <w:rPr>
                <w:rStyle w:val="Hyperlink"/>
                <w:noProof/>
              </w:rPr>
              <w:t>Поглавје 10: Дигитална трансформација и медиуми</w:t>
            </w:r>
            <w:r w:rsidR="000E0AE9">
              <w:rPr>
                <w:noProof/>
                <w:webHidden/>
              </w:rPr>
              <w:tab/>
            </w:r>
            <w:r w:rsidR="000E0AE9">
              <w:rPr>
                <w:noProof/>
                <w:webHidden/>
              </w:rPr>
              <w:fldChar w:fldCharType="begin"/>
            </w:r>
            <w:r w:rsidR="000E0AE9">
              <w:rPr>
                <w:noProof/>
                <w:webHidden/>
              </w:rPr>
              <w:instrText xml:space="preserve"> PAGEREF _Toc117004173 \h </w:instrText>
            </w:r>
            <w:r w:rsidR="000E0AE9">
              <w:rPr>
                <w:noProof/>
                <w:webHidden/>
              </w:rPr>
            </w:r>
            <w:r w:rsidR="000E0AE9">
              <w:rPr>
                <w:noProof/>
                <w:webHidden/>
              </w:rPr>
              <w:fldChar w:fldCharType="separate"/>
            </w:r>
            <w:r w:rsidR="000E0AE9">
              <w:rPr>
                <w:noProof/>
                <w:webHidden/>
              </w:rPr>
              <w:t>92</w:t>
            </w:r>
            <w:r w:rsidR="000E0AE9">
              <w:rPr>
                <w:noProof/>
                <w:webHidden/>
              </w:rPr>
              <w:fldChar w:fldCharType="end"/>
            </w:r>
          </w:hyperlink>
        </w:p>
        <w:p w14:paraId="33336ED4"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4" w:history="1">
            <w:r w:rsidR="000E0AE9" w:rsidRPr="00F60C62">
              <w:rPr>
                <w:rStyle w:val="Hyperlink"/>
                <w:noProof/>
              </w:rPr>
              <w:t>Поглавје 16: Оданочување</w:t>
            </w:r>
            <w:r w:rsidR="000E0AE9">
              <w:rPr>
                <w:noProof/>
                <w:webHidden/>
              </w:rPr>
              <w:tab/>
            </w:r>
            <w:r w:rsidR="000E0AE9">
              <w:rPr>
                <w:noProof/>
                <w:webHidden/>
              </w:rPr>
              <w:fldChar w:fldCharType="begin"/>
            </w:r>
            <w:r w:rsidR="000E0AE9">
              <w:rPr>
                <w:noProof/>
                <w:webHidden/>
              </w:rPr>
              <w:instrText xml:space="preserve"> PAGEREF _Toc117004174 \h </w:instrText>
            </w:r>
            <w:r w:rsidR="000E0AE9">
              <w:rPr>
                <w:noProof/>
                <w:webHidden/>
              </w:rPr>
            </w:r>
            <w:r w:rsidR="000E0AE9">
              <w:rPr>
                <w:noProof/>
                <w:webHidden/>
              </w:rPr>
              <w:fldChar w:fldCharType="separate"/>
            </w:r>
            <w:r w:rsidR="000E0AE9">
              <w:rPr>
                <w:noProof/>
                <w:webHidden/>
              </w:rPr>
              <w:t>94</w:t>
            </w:r>
            <w:r w:rsidR="000E0AE9">
              <w:rPr>
                <w:noProof/>
                <w:webHidden/>
              </w:rPr>
              <w:fldChar w:fldCharType="end"/>
            </w:r>
          </w:hyperlink>
        </w:p>
        <w:p w14:paraId="572F8019"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5" w:history="1">
            <w:r w:rsidR="000E0AE9" w:rsidRPr="00F60C62">
              <w:rPr>
                <w:rStyle w:val="Hyperlink"/>
                <w:noProof/>
              </w:rPr>
              <w:t>Поглавје 17: Економска и монетарна политика</w:t>
            </w:r>
            <w:r w:rsidR="000E0AE9">
              <w:rPr>
                <w:noProof/>
                <w:webHidden/>
              </w:rPr>
              <w:tab/>
            </w:r>
            <w:r w:rsidR="000E0AE9">
              <w:rPr>
                <w:noProof/>
                <w:webHidden/>
              </w:rPr>
              <w:fldChar w:fldCharType="begin"/>
            </w:r>
            <w:r w:rsidR="000E0AE9">
              <w:rPr>
                <w:noProof/>
                <w:webHidden/>
              </w:rPr>
              <w:instrText xml:space="preserve"> PAGEREF _Toc117004175 \h </w:instrText>
            </w:r>
            <w:r w:rsidR="000E0AE9">
              <w:rPr>
                <w:noProof/>
                <w:webHidden/>
              </w:rPr>
            </w:r>
            <w:r w:rsidR="000E0AE9">
              <w:rPr>
                <w:noProof/>
                <w:webHidden/>
              </w:rPr>
              <w:fldChar w:fldCharType="separate"/>
            </w:r>
            <w:r w:rsidR="000E0AE9">
              <w:rPr>
                <w:noProof/>
                <w:webHidden/>
              </w:rPr>
              <w:t>95</w:t>
            </w:r>
            <w:r w:rsidR="000E0AE9">
              <w:rPr>
                <w:noProof/>
                <w:webHidden/>
              </w:rPr>
              <w:fldChar w:fldCharType="end"/>
            </w:r>
          </w:hyperlink>
        </w:p>
        <w:p w14:paraId="54522B0E"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6" w:history="1">
            <w:r w:rsidR="000E0AE9" w:rsidRPr="00F60C62">
              <w:rPr>
                <w:rStyle w:val="Hyperlink"/>
                <w:noProof/>
              </w:rPr>
              <w:t>Поглавје 19: Социјална политика и вработување</w:t>
            </w:r>
            <w:r w:rsidR="000E0AE9">
              <w:rPr>
                <w:noProof/>
                <w:webHidden/>
              </w:rPr>
              <w:tab/>
            </w:r>
            <w:r w:rsidR="000E0AE9">
              <w:rPr>
                <w:noProof/>
                <w:webHidden/>
              </w:rPr>
              <w:fldChar w:fldCharType="begin"/>
            </w:r>
            <w:r w:rsidR="000E0AE9">
              <w:rPr>
                <w:noProof/>
                <w:webHidden/>
              </w:rPr>
              <w:instrText xml:space="preserve"> PAGEREF _Toc117004176 \h </w:instrText>
            </w:r>
            <w:r w:rsidR="000E0AE9">
              <w:rPr>
                <w:noProof/>
                <w:webHidden/>
              </w:rPr>
            </w:r>
            <w:r w:rsidR="000E0AE9">
              <w:rPr>
                <w:noProof/>
                <w:webHidden/>
              </w:rPr>
              <w:fldChar w:fldCharType="separate"/>
            </w:r>
            <w:r w:rsidR="000E0AE9">
              <w:rPr>
                <w:noProof/>
                <w:webHidden/>
              </w:rPr>
              <w:t>97</w:t>
            </w:r>
            <w:r w:rsidR="000E0AE9">
              <w:rPr>
                <w:noProof/>
                <w:webHidden/>
              </w:rPr>
              <w:fldChar w:fldCharType="end"/>
            </w:r>
          </w:hyperlink>
        </w:p>
        <w:p w14:paraId="6F4A881B"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7" w:history="1">
            <w:r w:rsidR="000E0AE9" w:rsidRPr="00F60C62">
              <w:rPr>
                <w:rStyle w:val="Hyperlink"/>
                <w:noProof/>
              </w:rPr>
              <w:t>Поглавје 20: Претпријатија и индустриска политика</w:t>
            </w:r>
            <w:r w:rsidR="000E0AE9">
              <w:rPr>
                <w:noProof/>
                <w:webHidden/>
              </w:rPr>
              <w:tab/>
            </w:r>
            <w:r w:rsidR="000E0AE9">
              <w:rPr>
                <w:noProof/>
                <w:webHidden/>
              </w:rPr>
              <w:fldChar w:fldCharType="begin"/>
            </w:r>
            <w:r w:rsidR="000E0AE9">
              <w:rPr>
                <w:noProof/>
                <w:webHidden/>
              </w:rPr>
              <w:instrText xml:space="preserve"> PAGEREF _Toc117004177 \h </w:instrText>
            </w:r>
            <w:r w:rsidR="000E0AE9">
              <w:rPr>
                <w:noProof/>
                <w:webHidden/>
              </w:rPr>
            </w:r>
            <w:r w:rsidR="000E0AE9">
              <w:rPr>
                <w:noProof/>
                <w:webHidden/>
              </w:rPr>
              <w:fldChar w:fldCharType="separate"/>
            </w:r>
            <w:r w:rsidR="000E0AE9">
              <w:rPr>
                <w:noProof/>
                <w:webHidden/>
              </w:rPr>
              <w:t>100</w:t>
            </w:r>
            <w:r w:rsidR="000E0AE9">
              <w:rPr>
                <w:noProof/>
                <w:webHidden/>
              </w:rPr>
              <w:fldChar w:fldCharType="end"/>
            </w:r>
          </w:hyperlink>
        </w:p>
        <w:p w14:paraId="195473B7"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8" w:history="1">
            <w:r w:rsidR="000E0AE9" w:rsidRPr="00F60C62">
              <w:rPr>
                <w:rStyle w:val="Hyperlink"/>
                <w:noProof/>
              </w:rPr>
              <w:t>Поглавје 25: Наука и истражување</w:t>
            </w:r>
            <w:r w:rsidR="000E0AE9">
              <w:rPr>
                <w:noProof/>
                <w:webHidden/>
              </w:rPr>
              <w:tab/>
            </w:r>
            <w:r w:rsidR="000E0AE9">
              <w:rPr>
                <w:noProof/>
                <w:webHidden/>
              </w:rPr>
              <w:fldChar w:fldCharType="begin"/>
            </w:r>
            <w:r w:rsidR="000E0AE9">
              <w:rPr>
                <w:noProof/>
                <w:webHidden/>
              </w:rPr>
              <w:instrText xml:space="preserve"> PAGEREF _Toc117004178 \h </w:instrText>
            </w:r>
            <w:r w:rsidR="000E0AE9">
              <w:rPr>
                <w:noProof/>
                <w:webHidden/>
              </w:rPr>
            </w:r>
            <w:r w:rsidR="000E0AE9">
              <w:rPr>
                <w:noProof/>
                <w:webHidden/>
              </w:rPr>
              <w:fldChar w:fldCharType="separate"/>
            </w:r>
            <w:r w:rsidR="000E0AE9">
              <w:rPr>
                <w:noProof/>
                <w:webHidden/>
              </w:rPr>
              <w:t>102</w:t>
            </w:r>
            <w:r w:rsidR="000E0AE9">
              <w:rPr>
                <w:noProof/>
                <w:webHidden/>
              </w:rPr>
              <w:fldChar w:fldCharType="end"/>
            </w:r>
          </w:hyperlink>
        </w:p>
        <w:p w14:paraId="57E7E95A"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79" w:history="1">
            <w:r w:rsidR="000E0AE9" w:rsidRPr="00F60C62">
              <w:rPr>
                <w:rStyle w:val="Hyperlink"/>
                <w:noProof/>
              </w:rPr>
              <w:t>Поглавје 26: Образование и култура</w:t>
            </w:r>
            <w:r w:rsidR="000E0AE9">
              <w:rPr>
                <w:noProof/>
                <w:webHidden/>
              </w:rPr>
              <w:tab/>
            </w:r>
            <w:r w:rsidR="000E0AE9">
              <w:rPr>
                <w:noProof/>
                <w:webHidden/>
              </w:rPr>
              <w:fldChar w:fldCharType="begin"/>
            </w:r>
            <w:r w:rsidR="000E0AE9">
              <w:rPr>
                <w:noProof/>
                <w:webHidden/>
              </w:rPr>
              <w:instrText xml:space="preserve"> PAGEREF _Toc117004179 \h </w:instrText>
            </w:r>
            <w:r w:rsidR="000E0AE9">
              <w:rPr>
                <w:noProof/>
                <w:webHidden/>
              </w:rPr>
            </w:r>
            <w:r w:rsidR="000E0AE9">
              <w:rPr>
                <w:noProof/>
                <w:webHidden/>
              </w:rPr>
              <w:fldChar w:fldCharType="separate"/>
            </w:r>
            <w:r w:rsidR="000E0AE9">
              <w:rPr>
                <w:noProof/>
                <w:webHidden/>
              </w:rPr>
              <w:t>103</w:t>
            </w:r>
            <w:r w:rsidR="000E0AE9">
              <w:rPr>
                <w:noProof/>
                <w:webHidden/>
              </w:rPr>
              <w:fldChar w:fldCharType="end"/>
            </w:r>
          </w:hyperlink>
        </w:p>
        <w:p w14:paraId="76F01289"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0" w:history="1">
            <w:r w:rsidR="000E0AE9" w:rsidRPr="00F60C62">
              <w:rPr>
                <w:rStyle w:val="Hyperlink"/>
                <w:noProof/>
              </w:rPr>
              <w:t>Поглавје 29: Царинска унија</w:t>
            </w:r>
            <w:r w:rsidR="000E0AE9">
              <w:rPr>
                <w:noProof/>
                <w:webHidden/>
              </w:rPr>
              <w:tab/>
            </w:r>
            <w:r w:rsidR="000E0AE9">
              <w:rPr>
                <w:noProof/>
                <w:webHidden/>
              </w:rPr>
              <w:fldChar w:fldCharType="begin"/>
            </w:r>
            <w:r w:rsidR="000E0AE9">
              <w:rPr>
                <w:noProof/>
                <w:webHidden/>
              </w:rPr>
              <w:instrText xml:space="preserve"> PAGEREF _Toc117004180 \h </w:instrText>
            </w:r>
            <w:r w:rsidR="000E0AE9">
              <w:rPr>
                <w:noProof/>
                <w:webHidden/>
              </w:rPr>
            </w:r>
            <w:r w:rsidR="000E0AE9">
              <w:rPr>
                <w:noProof/>
                <w:webHidden/>
              </w:rPr>
              <w:fldChar w:fldCharType="separate"/>
            </w:r>
            <w:r w:rsidR="000E0AE9">
              <w:rPr>
                <w:noProof/>
                <w:webHidden/>
              </w:rPr>
              <w:t>105</w:t>
            </w:r>
            <w:r w:rsidR="000E0AE9">
              <w:rPr>
                <w:noProof/>
                <w:webHidden/>
              </w:rPr>
              <w:fldChar w:fldCharType="end"/>
            </w:r>
          </w:hyperlink>
        </w:p>
        <w:p w14:paraId="730400BC"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81" w:history="1">
            <w:r w:rsidR="000E0AE9" w:rsidRPr="00F60C62">
              <w:rPr>
                <w:rStyle w:val="Hyperlink"/>
                <w:noProof/>
              </w:rPr>
              <w:t>Кластер 4: Зелената агенда и одржливa поврзаност</w:t>
            </w:r>
            <w:r w:rsidR="000E0AE9">
              <w:rPr>
                <w:noProof/>
                <w:webHidden/>
              </w:rPr>
              <w:tab/>
            </w:r>
            <w:r w:rsidR="000E0AE9">
              <w:rPr>
                <w:noProof/>
                <w:webHidden/>
              </w:rPr>
              <w:fldChar w:fldCharType="begin"/>
            </w:r>
            <w:r w:rsidR="000E0AE9">
              <w:rPr>
                <w:noProof/>
                <w:webHidden/>
              </w:rPr>
              <w:instrText xml:space="preserve"> PAGEREF _Toc117004181 \h </w:instrText>
            </w:r>
            <w:r w:rsidR="000E0AE9">
              <w:rPr>
                <w:noProof/>
                <w:webHidden/>
              </w:rPr>
            </w:r>
            <w:r w:rsidR="000E0AE9">
              <w:rPr>
                <w:noProof/>
                <w:webHidden/>
              </w:rPr>
              <w:fldChar w:fldCharType="separate"/>
            </w:r>
            <w:r w:rsidR="000E0AE9">
              <w:rPr>
                <w:noProof/>
                <w:webHidden/>
              </w:rPr>
              <w:t>107</w:t>
            </w:r>
            <w:r w:rsidR="000E0AE9">
              <w:rPr>
                <w:noProof/>
                <w:webHidden/>
              </w:rPr>
              <w:fldChar w:fldCharType="end"/>
            </w:r>
          </w:hyperlink>
        </w:p>
        <w:p w14:paraId="7B9D2CF2"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2" w:history="1">
            <w:r w:rsidR="000E0AE9" w:rsidRPr="00F60C62">
              <w:rPr>
                <w:rStyle w:val="Hyperlink"/>
                <w:noProof/>
              </w:rPr>
              <w:t>Поглавје 14: Транспортна политика</w:t>
            </w:r>
            <w:r w:rsidR="000E0AE9">
              <w:rPr>
                <w:noProof/>
                <w:webHidden/>
              </w:rPr>
              <w:tab/>
            </w:r>
            <w:r w:rsidR="000E0AE9">
              <w:rPr>
                <w:noProof/>
                <w:webHidden/>
              </w:rPr>
              <w:fldChar w:fldCharType="begin"/>
            </w:r>
            <w:r w:rsidR="000E0AE9">
              <w:rPr>
                <w:noProof/>
                <w:webHidden/>
              </w:rPr>
              <w:instrText xml:space="preserve"> PAGEREF _Toc117004182 \h </w:instrText>
            </w:r>
            <w:r w:rsidR="000E0AE9">
              <w:rPr>
                <w:noProof/>
                <w:webHidden/>
              </w:rPr>
            </w:r>
            <w:r w:rsidR="000E0AE9">
              <w:rPr>
                <w:noProof/>
                <w:webHidden/>
              </w:rPr>
              <w:fldChar w:fldCharType="separate"/>
            </w:r>
            <w:r w:rsidR="000E0AE9">
              <w:rPr>
                <w:noProof/>
                <w:webHidden/>
              </w:rPr>
              <w:t>107</w:t>
            </w:r>
            <w:r w:rsidR="000E0AE9">
              <w:rPr>
                <w:noProof/>
                <w:webHidden/>
              </w:rPr>
              <w:fldChar w:fldCharType="end"/>
            </w:r>
          </w:hyperlink>
        </w:p>
        <w:p w14:paraId="57D23B78"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3" w:history="1">
            <w:r w:rsidR="000E0AE9" w:rsidRPr="00F60C62">
              <w:rPr>
                <w:rStyle w:val="Hyperlink"/>
                <w:noProof/>
              </w:rPr>
              <w:t>Поглавје 15: Енергетика</w:t>
            </w:r>
            <w:r w:rsidR="000E0AE9">
              <w:rPr>
                <w:noProof/>
                <w:webHidden/>
              </w:rPr>
              <w:tab/>
            </w:r>
            <w:r w:rsidR="000E0AE9">
              <w:rPr>
                <w:noProof/>
                <w:webHidden/>
              </w:rPr>
              <w:fldChar w:fldCharType="begin"/>
            </w:r>
            <w:r w:rsidR="000E0AE9">
              <w:rPr>
                <w:noProof/>
                <w:webHidden/>
              </w:rPr>
              <w:instrText xml:space="preserve"> PAGEREF _Toc117004183 \h </w:instrText>
            </w:r>
            <w:r w:rsidR="000E0AE9">
              <w:rPr>
                <w:noProof/>
                <w:webHidden/>
              </w:rPr>
            </w:r>
            <w:r w:rsidR="000E0AE9">
              <w:rPr>
                <w:noProof/>
                <w:webHidden/>
              </w:rPr>
              <w:fldChar w:fldCharType="separate"/>
            </w:r>
            <w:r w:rsidR="000E0AE9">
              <w:rPr>
                <w:noProof/>
                <w:webHidden/>
              </w:rPr>
              <w:t>109</w:t>
            </w:r>
            <w:r w:rsidR="000E0AE9">
              <w:rPr>
                <w:noProof/>
                <w:webHidden/>
              </w:rPr>
              <w:fldChar w:fldCharType="end"/>
            </w:r>
          </w:hyperlink>
        </w:p>
        <w:p w14:paraId="374058AA"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4" w:history="1">
            <w:r w:rsidR="000E0AE9" w:rsidRPr="00F60C62">
              <w:rPr>
                <w:rStyle w:val="Hyperlink"/>
                <w:noProof/>
              </w:rPr>
              <w:t>Поглавје 21: Транс-европски мрежи</w:t>
            </w:r>
            <w:r w:rsidR="000E0AE9">
              <w:rPr>
                <w:noProof/>
                <w:webHidden/>
              </w:rPr>
              <w:tab/>
            </w:r>
            <w:r w:rsidR="000E0AE9">
              <w:rPr>
                <w:noProof/>
                <w:webHidden/>
              </w:rPr>
              <w:fldChar w:fldCharType="begin"/>
            </w:r>
            <w:r w:rsidR="000E0AE9">
              <w:rPr>
                <w:noProof/>
                <w:webHidden/>
              </w:rPr>
              <w:instrText xml:space="preserve"> PAGEREF _Toc117004184 \h </w:instrText>
            </w:r>
            <w:r w:rsidR="000E0AE9">
              <w:rPr>
                <w:noProof/>
                <w:webHidden/>
              </w:rPr>
            </w:r>
            <w:r w:rsidR="000E0AE9">
              <w:rPr>
                <w:noProof/>
                <w:webHidden/>
              </w:rPr>
              <w:fldChar w:fldCharType="separate"/>
            </w:r>
            <w:r w:rsidR="000E0AE9">
              <w:rPr>
                <w:noProof/>
                <w:webHidden/>
              </w:rPr>
              <w:t>111</w:t>
            </w:r>
            <w:r w:rsidR="000E0AE9">
              <w:rPr>
                <w:noProof/>
                <w:webHidden/>
              </w:rPr>
              <w:fldChar w:fldCharType="end"/>
            </w:r>
          </w:hyperlink>
        </w:p>
        <w:p w14:paraId="3A964514"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5" w:history="1">
            <w:r w:rsidR="000E0AE9" w:rsidRPr="00F60C62">
              <w:rPr>
                <w:rStyle w:val="Hyperlink"/>
                <w:noProof/>
              </w:rPr>
              <w:t>Поглавје 27: Животна средина и климатски промени</w:t>
            </w:r>
            <w:r w:rsidR="000E0AE9">
              <w:rPr>
                <w:noProof/>
                <w:webHidden/>
              </w:rPr>
              <w:tab/>
            </w:r>
            <w:r w:rsidR="000E0AE9">
              <w:rPr>
                <w:noProof/>
                <w:webHidden/>
              </w:rPr>
              <w:fldChar w:fldCharType="begin"/>
            </w:r>
            <w:r w:rsidR="000E0AE9">
              <w:rPr>
                <w:noProof/>
                <w:webHidden/>
              </w:rPr>
              <w:instrText xml:space="preserve"> PAGEREF _Toc117004185 \h </w:instrText>
            </w:r>
            <w:r w:rsidR="000E0AE9">
              <w:rPr>
                <w:noProof/>
                <w:webHidden/>
              </w:rPr>
            </w:r>
            <w:r w:rsidR="000E0AE9">
              <w:rPr>
                <w:noProof/>
                <w:webHidden/>
              </w:rPr>
              <w:fldChar w:fldCharType="separate"/>
            </w:r>
            <w:r w:rsidR="000E0AE9">
              <w:rPr>
                <w:noProof/>
                <w:webHidden/>
              </w:rPr>
              <w:t>112</w:t>
            </w:r>
            <w:r w:rsidR="000E0AE9">
              <w:rPr>
                <w:noProof/>
                <w:webHidden/>
              </w:rPr>
              <w:fldChar w:fldCharType="end"/>
            </w:r>
          </w:hyperlink>
        </w:p>
        <w:p w14:paraId="31E4E982"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86" w:history="1">
            <w:r w:rsidR="000E0AE9" w:rsidRPr="00F60C62">
              <w:rPr>
                <w:rStyle w:val="Hyperlink"/>
                <w:noProof/>
              </w:rPr>
              <w:t>Кластер 5: Ресурси, земјоделство и кохезија</w:t>
            </w:r>
            <w:r w:rsidR="000E0AE9">
              <w:rPr>
                <w:noProof/>
                <w:webHidden/>
              </w:rPr>
              <w:tab/>
            </w:r>
            <w:r w:rsidR="000E0AE9">
              <w:rPr>
                <w:noProof/>
                <w:webHidden/>
              </w:rPr>
              <w:fldChar w:fldCharType="begin"/>
            </w:r>
            <w:r w:rsidR="000E0AE9">
              <w:rPr>
                <w:noProof/>
                <w:webHidden/>
              </w:rPr>
              <w:instrText xml:space="preserve"> PAGEREF _Toc117004186 \h </w:instrText>
            </w:r>
            <w:r w:rsidR="000E0AE9">
              <w:rPr>
                <w:noProof/>
                <w:webHidden/>
              </w:rPr>
            </w:r>
            <w:r w:rsidR="000E0AE9">
              <w:rPr>
                <w:noProof/>
                <w:webHidden/>
              </w:rPr>
              <w:fldChar w:fldCharType="separate"/>
            </w:r>
            <w:r w:rsidR="000E0AE9">
              <w:rPr>
                <w:noProof/>
                <w:webHidden/>
              </w:rPr>
              <w:t>114</w:t>
            </w:r>
            <w:r w:rsidR="000E0AE9">
              <w:rPr>
                <w:noProof/>
                <w:webHidden/>
              </w:rPr>
              <w:fldChar w:fldCharType="end"/>
            </w:r>
          </w:hyperlink>
        </w:p>
        <w:p w14:paraId="35DEE084"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7" w:history="1">
            <w:r w:rsidR="000E0AE9" w:rsidRPr="00F60C62">
              <w:rPr>
                <w:rStyle w:val="Hyperlink"/>
                <w:noProof/>
              </w:rPr>
              <w:t>Поглавје 11: Земјоделски и рурален развој</w:t>
            </w:r>
            <w:r w:rsidR="000E0AE9">
              <w:rPr>
                <w:noProof/>
                <w:webHidden/>
              </w:rPr>
              <w:tab/>
            </w:r>
            <w:r w:rsidR="000E0AE9">
              <w:rPr>
                <w:noProof/>
                <w:webHidden/>
              </w:rPr>
              <w:fldChar w:fldCharType="begin"/>
            </w:r>
            <w:r w:rsidR="000E0AE9">
              <w:rPr>
                <w:noProof/>
                <w:webHidden/>
              </w:rPr>
              <w:instrText xml:space="preserve"> PAGEREF _Toc117004187 \h </w:instrText>
            </w:r>
            <w:r w:rsidR="000E0AE9">
              <w:rPr>
                <w:noProof/>
                <w:webHidden/>
              </w:rPr>
            </w:r>
            <w:r w:rsidR="000E0AE9">
              <w:rPr>
                <w:noProof/>
                <w:webHidden/>
              </w:rPr>
              <w:fldChar w:fldCharType="separate"/>
            </w:r>
            <w:r w:rsidR="000E0AE9">
              <w:rPr>
                <w:noProof/>
                <w:webHidden/>
              </w:rPr>
              <w:t>115</w:t>
            </w:r>
            <w:r w:rsidR="000E0AE9">
              <w:rPr>
                <w:noProof/>
                <w:webHidden/>
              </w:rPr>
              <w:fldChar w:fldCharType="end"/>
            </w:r>
          </w:hyperlink>
        </w:p>
        <w:p w14:paraId="4257FBF3"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8" w:history="1">
            <w:r w:rsidR="000E0AE9" w:rsidRPr="00F60C62">
              <w:rPr>
                <w:rStyle w:val="Hyperlink"/>
                <w:noProof/>
              </w:rPr>
              <w:t>Поглавје 12: Безбедност на храна, ветеринарна и фитосанитарна политика</w:t>
            </w:r>
            <w:r w:rsidR="000E0AE9">
              <w:rPr>
                <w:noProof/>
                <w:webHidden/>
              </w:rPr>
              <w:tab/>
            </w:r>
            <w:r w:rsidR="000E0AE9">
              <w:rPr>
                <w:noProof/>
                <w:webHidden/>
              </w:rPr>
              <w:fldChar w:fldCharType="begin"/>
            </w:r>
            <w:r w:rsidR="000E0AE9">
              <w:rPr>
                <w:noProof/>
                <w:webHidden/>
              </w:rPr>
              <w:instrText xml:space="preserve"> PAGEREF _Toc117004188 \h </w:instrText>
            </w:r>
            <w:r w:rsidR="000E0AE9">
              <w:rPr>
                <w:noProof/>
                <w:webHidden/>
              </w:rPr>
            </w:r>
            <w:r w:rsidR="000E0AE9">
              <w:rPr>
                <w:noProof/>
                <w:webHidden/>
              </w:rPr>
              <w:fldChar w:fldCharType="separate"/>
            </w:r>
            <w:r w:rsidR="000E0AE9">
              <w:rPr>
                <w:noProof/>
                <w:webHidden/>
              </w:rPr>
              <w:t>116</w:t>
            </w:r>
            <w:r w:rsidR="000E0AE9">
              <w:rPr>
                <w:noProof/>
                <w:webHidden/>
              </w:rPr>
              <w:fldChar w:fldCharType="end"/>
            </w:r>
          </w:hyperlink>
        </w:p>
        <w:p w14:paraId="44696481"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89" w:history="1">
            <w:r w:rsidR="000E0AE9" w:rsidRPr="00F60C62">
              <w:rPr>
                <w:rStyle w:val="Hyperlink"/>
                <w:noProof/>
              </w:rPr>
              <w:t>Поглавје 13: Рибарство</w:t>
            </w:r>
            <w:r w:rsidR="000E0AE9">
              <w:rPr>
                <w:noProof/>
                <w:webHidden/>
              </w:rPr>
              <w:tab/>
            </w:r>
            <w:r w:rsidR="000E0AE9">
              <w:rPr>
                <w:noProof/>
                <w:webHidden/>
              </w:rPr>
              <w:fldChar w:fldCharType="begin"/>
            </w:r>
            <w:r w:rsidR="000E0AE9">
              <w:rPr>
                <w:noProof/>
                <w:webHidden/>
              </w:rPr>
              <w:instrText xml:space="preserve"> PAGEREF _Toc117004189 \h </w:instrText>
            </w:r>
            <w:r w:rsidR="000E0AE9">
              <w:rPr>
                <w:noProof/>
                <w:webHidden/>
              </w:rPr>
            </w:r>
            <w:r w:rsidR="000E0AE9">
              <w:rPr>
                <w:noProof/>
                <w:webHidden/>
              </w:rPr>
              <w:fldChar w:fldCharType="separate"/>
            </w:r>
            <w:r w:rsidR="000E0AE9">
              <w:rPr>
                <w:noProof/>
                <w:webHidden/>
              </w:rPr>
              <w:t>118</w:t>
            </w:r>
            <w:r w:rsidR="000E0AE9">
              <w:rPr>
                <w:noProof/>
                <w:webHidden/>
              </w:rPr>
              <w:fldChar w:fldCharType="end"/>
            </w:r>
          </w:hyperlink>
        </w:p>
        <w:p w14:paraId="1A4190CB"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90" w:history="1">
            <w:r w:rsidR="000E0AE9" w:rsidRPr="00F60C62">
              <w:rPr>
                <w:rStyle w:val="Hyperlink"/>
                <w:noProof/>
              </w:rPr>
              <w:t>Поглавје 22: Регионална политика и координација на структурни инструменти</w:t>
            </w:r>
            <w:r w:rsidR="000E0AE9">
              <w:rPr>
                <w:noProof/>
                <w:webHidden/>
              </w:rPr>
              <w:tab/>
            </w:r>
            <w:r w:rsidR="000E0AE9">
              <w:rPr>
                <w:noProof/>
                <w:webHidden/>
              </w:rPr>
              <w:fldChar w:fldCharType="begin"/>
            </w:r>
            <w:r w:rsidR="000E0AE9">
              <w:rPr>
                <w:noProof/>
                <w:webHidden/>
              </w:rPr>
              <w:instrText xml:space="preserve"> PAGEREF _Toc117004190 \h </w:instrText>
            </w:r>
            <w:r w:rsidR="000E0AE9">
              <w:rPr>
                <w:noProof/>
                <w:webHidden/>
              </w:rPr>
            </w:r>
            <w:r w:rsidR="000E0AE9">
              <w:rPr>
                <w:noProof/>
                <w:webHidden/>
              </w:rPr>
              <w:fldChar w:fldCharType="separate"/>
            </w:r>
            <w:r w:rsidR="000E0AE9">
              <w:rPr>
                <w:noProof/>
                <w:webHidden/>
              </w:rPr>
              <w:t>119</w:t>
            </w:r>
            <w:r w:rsidR="000E0AE9">
              <w:rPr>
                <w:noProof/>
                <w:webHidden/>
              </w:rPr>
              <w:fldChar w:fldCharType="end"/>
            </w:r>
          </w:hyperlink>
        </w:p>
        <w:p w14:paraId="605C6CBF"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91" w:history="1">
            <w:r w:rsidR="000E0AE9" w:rsidRPr="00F60C62">
              <w:rPr>
                <w:rStyle w:val="Hyperlink"/>
                <w:noProof/>
              </w:rPr>
              <w:t>Поглавје 33: Финансиски и буџетски одредби</w:t>
            </w:r>
            <w:r w:rsidR="000E0AE9">
              <w:rPr>
                <w:noProof/>
                <w:webHidden/>
              </w:rPr>
              <w:tab/>
            </w:r>
            <w:r w:rsidR="000E0AE9">
              <w:rPr>
                <w:noProof/>
                <w:webHidden/>
              </w:rPr>
              <w:fldChar w:fldCharType="begin"/>
            </w:r>
            <w:r w:rsidR="000E0AE9">
              <w:rPr>
                <w:noProof/>
                <w:webHidden/>
              </w:rPr>
              <w:instrText xml:space="preserve"> PAGEREF _Toc117004191 \h </w:instrText>
            </w:r>
            <w:r w:rsidR="000E0AE9">
              <w:rPr>
                <w:noProof/>
                <w:webHidden/>
              </w:rPr>
            </w:r>
            <w:r w:rsidR="000E0AE9">
              <w:rPr>
                <w:noProof/>
                <w:webHidden/>
              </w:rPr>
              <w:fldChar w:fldCharType="separate"/>
            </w:r>
            <w:r w:rsidR="000E0AE9">
              <w:rPr>
                <w:noProof/>
                <w:webHidden/>
              </w:rPr>
              <w:t>121</w:t>
            </w:r>
            <w:r w:rsidR="000E0AE9">
              <w:rPr>
                <w:noProof/>
                <w:webHidden/>
              </w:rPr>
              <w:fldChar w:fldCharType="end"/>
            </w:r>
          </w:hyperlink>
        </w:p>
        <w:p w14:paraId="54C4D3A5" w14:textId="77777777" w:rsidR="000E0AE9" w:rsidRDefault="00000000">
          <w:pPr>
            <w:pStyle w:val="TOC2"/>
            <w:rPr>
              <w:rFonts w:asciiTheme="minorHAnsi" w:eastAsiaTheme="minorEastAsia" w:hAnsiTheme="minorHAnsi" w:cstheme="minorBidi"/>
              <w:b w:val="0"/>
              <w:smallCaps w:val="0"/>
              <w:noProof/>
              <w:sz w:val="22"/>
              <w:szCs w:val="22"/>
              <w:lang w:val="en-US" w:eastAsia="en-US" w:bidi="ar-SA"/>
            </w:rPr>
          </w:pPr>
          <w:hyperlink w:anchor="_Toc117004192" w:history="1">
            <w:r w:rsidR="000E0AE9" w:rsidRPr="00F60C62">
              <w:rPr>
                <w:rStyle w:val="Hyperlink"/>
                <w:noProof/>
              </w:rPr>
              <w:t>Кластер 6: Надворешни односи</w:t>
            </w:r>
            <w:r w:rsidR="000E0AE9">
              <w:rPr>
                <w:noProof/>
                <w:webHidden/>
              </w:rPr>
              <w:tab/>
            </w:r>
            <w:r w:rsidR="000E0AE9">
              <w:rPr>
                <w:noProof/>
                <w:webHidden/>
              </w:rPr>
              <w:fldChar w:fldCharType="begin"/>
            </w:r>
            <w:r w:rsidR="000E0AE9">
              <w:rPr>
                <w:noProof/>
                <w:webHidden/>
              </w:rPr>
              <w:instrText xml:space="preserve"> PAGEREF _Toc117004192 \h </w:instrText>
            </w:r>
            <w:r w:rsidR="000E0AE9">
              <w:rPr>
                <w:noProof/>
                <w:webHidden/>
              </w:rPr>
            </w:r>
            <w:r w:rsidR="000E0AE9">
              <w:rPr>
                <w:noProof/>
                <w:webHidden/>
              </w:rPr>
              <w:fldChar w:fldCharType="separate"/>
            </w:r>
            <w:r w:rsidR="000E0AE9">
              <w:rPr>
                <w:noProof/>
                <w:webHidden/>
              </w:rPr>
              <w:t>122</w:t>
            </w:r>
            <w:r w:rsidR="000E0AE9">
              <w:rPr>
                <w:noProof/>
                <w:webHidden/>
              </w:rPr>
              <w:fldChar w:fldCharType="end"/>
            </w:r>
          </w:hyperlink>
        </w:p>
        <w:p w14:paraId="1DF84F3D"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93" w:history="1">
            <w:r w:rsidR="000E0AE9" w:rsidRPr="00F60C62">
              <w:rPr>
                <w:rStyle w:val="Hyperlink"/>
                <w:noProof/>
              </w:rPr>
              <w:t>Поглавје 30: Надворешни односи</w:t>
            </w:r>
            <w:r w:rsidR="000E0AE9">
              <w:rPr>
                <w:noProof/>
                <w:webHidden/>
              </w:rPr>
              <w:tab/>
            </w:r>
            <w:r w:rsidR="000E0AE9">
              <w:rPr>
                <w:noProof/>
                <w:webHidden/>
              </w:rPr>
              <w:fldChar w:fldCharType="begin"/>
            </w:r>
            <w:r w:rsidR="000E0AE9">
              <w:rPr>
                <w:noProof/>
                <w:webHidden/>
              </w:rPr>
              <w:instrText xml:space="preserve"> PAGEREF _Toc117004193 \h </w:instrText>
            </w:r>
            <w:r w:rsidR="000E0AE9">
              <w:rPr>
                <w:noProof/>
                <w:webHidden/>
              </w:rPr>
            </w:r>
            <w:r w:rsidR="000E0AE9">
              <w:rPr>
                <w:noProof/>
                <w:webHidden/>
              </w:rPr>
              <w:fldChar w:fldCharType="separate"/>
            </w:r>
            <w:r w:rsidR="000E0AE9">
              <w:rPr>
                <w:noProof/>
                <w:webHidden/>
              </w:rPr>
              <w:t>122</w:t>
            </w:r>
            <w:r w:rsidR="000E0AE9">
              <w:rPr>
                <w:noProof/>
                <w:webHidden/>
              </w:rPr>
              <w:fldChar w:fldCharType="end"/>
            </w:r>
          </w:hyperlink>
        </w:p>
        <w:p w14:paraId="5A049905" w14:textId="77777777" w:rsidR="000E0AE9" w:rsidRDefault="00000000">
          <w:pPr>
            <w:pStyle w:val="TOC3"/>
            <w:rPr>
              <w:rFonts w:asciiTheme="minorHAnsi" w:eastAsiaTheme="minorEastAsia" w:hAnsiTheme="minorHAnsi" w:cstheme="minorBidi"/>
              <w:noProof/>
              <w:sz w:val="22"/>
              <w:szCs w:val="22"/>
              <w:lang w:val="en-US" w:eastAsia="en-US" w:bidi="ar-SA"/>
            </w:rPr>
          </w:pPr>
          <w:hyperlink w:anchor="_Toc117004194" w:history="1">
            <w:r w:rsidR="000E0AE9" w:rsidRPr="00F60C62">
              <w:rPr>
                <w:rStyle w:val="Hyperlink"/>
                <w:noProof/>
              </w:rPr>
              <w:t>Поглавје 31: Надворешна, безбедносна и одбранбена политика</w:t>
            </w:r>
            <w:r w:rsidR="000E0AE9">
              <w:rPr>
                <w:noProof/>
                <w:webHidden/>
              </w:rPr>
              <w:tab/>
            </w:r>
            <w:r w:rsidR="000E0AE9">
              <w:rPr>
                <w:noProof/>
                <w:webHidden/>
              </w:rPr>
              <w:fldChar w:fldCharType="begin"/>
            </w:r>
            <w:r w:rsidR="000E0AE9">
              <w:rPr>
                <w:noProof/>
                <w:webHidden/>
              </w:rPr>
              <w:instrText xml:space="preserve"> PAGEREF _Toc117004194 \h </w:instrText>
            </w:r>
            <w:r w:rsidR="000E0AE9">
              <w:rPr>
                <w:noProof/>
                <w:webHidden/>
              </w:rPr>
            </w:r>
            <w:r w:rsidR="000E0AE9">
              <w:rPr>
                <w:noProof/>
                <w:webHidden/>
              </w:rPr>
              <w:fldChar w:fldCharType="separate"/>
            </w:r>
            <w:r w:rsidR="000E0AE9">
              <w:rPr>
                <w:noProof/>
                <w:webHidden/>
              </w:rPr>
              <w:t>124</w:t>
            </w:r>
            <w:r w:rsidR="000E0AE9">
              <w:rPr>
                <w:noProof/>
                <w:webHidden/>
              </w:rPr>
              <w:fldChar w:fldCharType="end"/>
            </w:r>
          </w:hyperlink>
        </w:p>
        <w:p w14:paraId="15290EE6" w14:textId="77777777" w:rsidR="001D2026" w:rsidRPr="00C9671E" w:rsidRDefault="002E49F1" w:rsidP="00045DE1">
          <w:pPr>
            <w:pStyle w:val="TOC3"/>
            <w:tabs>
              <w:tab w:val="right" w:leader="dot" w:pos="9016"/>
            </w:tabs>
          </w:pPr>
          <w:r w:rsidRPr="00C9671E">
            <w:rPr>
              <w:b/>
              <w:bCs/>
            </w:rPr>
            <w:fldChar w:fldCharType="end"/>
          </w:r>
        </w:p>
      </w:sdtContent>
    </w:sdt>
    <w:p w14:paraId="632D3783" w14:textId="77777777" w:rsidR="00131338" w:rsidRPr="00C9671E" w:rsidRDefault="00131338" w:rsidP="006E0C51">
      <w:pPr>
        <w:spacing w:after="120" w:line="240" w:lineRule="auto"/>
        <w:rPr>
          <w:rFonts w:ascii="Times New Roman" w:eastAsia="Times New Roman" w:hAnsi="Times New Roman" w:cs="Times New Roman"/>
          <w:b/>
          <w:smallCaps/>
          <w:sz w:val="24"/>
          <w:szCs w:val="24"/>
        </w:rPr>
      </w:pPr>
      <w:r w:rsidRPr="00C9671E">
        <w:rPr>
          <w:rFonts w:ascii="Times New Roman" w:hAnsi="Times New Roman" w:cs="Times New Roman"/>
          <w:sz w:val="24"/>
          <w:szCs w:val="24"/>
        </w:rPr>
        <w:br w:type="page"/>
      </w:r>
    </w:p>
    <w:p w14:paraId="58B79200" w14:textId="77777777" w:rsidR="00131338" w:rsidRPr="00C9671E" w:rsidRDefault="00131338" w:rsidP="006E0C51">
      <w:pPr>
        <w:pStyle w:val="Heading1"/>
        <w:spacing w:before="0" w:after="120" w:line="240" w:lineRule="auto"/>
        <w:rPr>
          <w:rFonts w:ascii="Times New Roman" w:hAnsi="Times New Roman" w:cs="Times New Roman"/>
          <w:smallCaps/>
        </w:rPr>
      </w:pPr>
      <w:bookmarkStart w:id="7" w:name="_Toc115619772"/>
      <w:bookmarkStart w:id="8" w:name="_Toc117004143"/>
      <w:r w:rsidRPr="00C9671E">
        <w:rPr>
          <w:rFonts w:ascii="Times New Roman" w:hAnsi="Times New Roman" w:cs="Times New Roman"/>
        </w:rPr>
        <w:lastRenderedPageBreak/>
        <w:t>1.</w:t>
      </w:r>
      <w:r w:rsidR="00E003C4" w:rsidRPr="00C9671E">
        <w:rPr>
          <w:rFonts w:ascii="Times New Roman" w:hAnsi="Times New Roman" w:cs="Times New Roman"/>
        </w:rPr>
        <w:t xml:space="preserve"> </w:t>
      </w:r>
      <w:r w:rsidRPr="00C9671E">
        <w:rPr>
          <w:rFonts w:ascii="Times New Roman" w:hAnsi="Times New Roman" w:cs="Times New Roman"/>
        </w:rPr>
        <w:tab/>
        <w:t>Вовед</w:t>
      </w:r>
      <w:bookmarkEnd w:id="0"/>
      <w:bookmarkEnd w:id="1"/>
      <w:bookmarkEnd w:id="7"/>
      <w:bookmarkEnd w:id="8"/>
    </w:p>
    <w:p w14:paraId="1568FC0B" w14:textId="77777777" w:rsidR="00131338" w:rsidRPr="00C9671E" w:rsidRDefault="00131338" w:rsidP="006E0C51">
      <w:pPr>
        <w:pStyle w:val="Heading2"/>
        <w:spacing w:before="0"/>
      </w:pPr>
      <w:bookmarkStart w:id="9" w:name="_Toc84329761"/>
      <w:bookmarkStart w:id="10" w:name="_Toc84631563"/>
      <w:bookmarkStart w:id="11" w:name="_Toc115619773"/>
      <w:bookmarkStart w:id="12" w:name="_Toc117004144"/>
      <w:r w:rsidRPr="00C9671E">
        <w:t>1.1.</w:t>
      </w:r>
      <w:r w:rsidR="00E003C4" w:rsidRPr="00C9671E">
        <w:t xml:space="preserve"> </w:t>
      </w:r>
      <w:r w:rsidRPr="00C9671E">
        <w:tab/>
        <w:t>Контекст</w:t>
      </w:r>
      <w:bookmarkEnd w:id="9"/>
      <w:bookmarkEnd w:id="10"/>
      <w:bookmarkEnd w:id="11"/>
      <w:bookmarkEnd w:id="12"/>
    </w:p>
    <w:p w14:paraId="7799F701" w14:textId="745F54EC" w:rsidR="00131338" w:rsidRPr="00C9671E" w:rsidRDefault="00993010"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с</w:t>
      </w:r>
      <w:r w:rsidR="00131338" w:rsidRPr="00C9671E">
        <w:rPr>
          <w:rFonts w:ascii="Times New Roman" w:hAnsi="Times New Roman" w:cs="Times New Roman"/>
          <w:sz w:val="24"/>
        </w:rPr>
        <w:t>проведување</w:t>
      </w:r>
      <w:r w:rsidRPr="00C9671E">
        <w:rPr>
          <w:rFonts w:ascii="Times New Roman" w:hAnsi="Times New Roman" w:cs="Times New Roman"/>
          <w:sz w:val="24"/>
        </w:rPr>
        <w:t>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Спогодбата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стабилизација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асоцијација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(ССА)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помеѓу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вле</w:t>
      </w:r>
      <w:r w:rsidRPr="00C9671E">
        <w:rPr>
          <w:rFonts w:ascii="Times New Roman" w:hAnsi="Times New Roman" w:cs="Times New Roman"/>
          <w:sz w:val="24"/>
        </w:rPr>
        <w:t>зе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2004</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131338"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2009</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постојано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препорачува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земја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кандидатка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2005</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Европскиот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одобри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одлуката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отворање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D22BF" w:rsidRPr="00C9671E">
        <w:rPr>
          <w:rFonts w:ascii="Times New Roman" w:hAnsi="Times New Roman" w:cs="Times New Roman"/>
          <w:sz w:val="24"/>
        </w:rPr>
        <w:t>пристапните</w:t>
      </w:r>
      <w:r w:rsidR="00E003C4" w:rsidRPr="00C9671E">
        <w:rPr>
          <w:rFonts w:ascii="Times New Roman" w:hAnsi="Times New Roman" w:cs="Times New Roman"/>
          <w:sz w:val="24"/>
        </w:rPr>
        <w:t xml:space="preserve"> </w:t>
      </w:r>
      <w:r w:rsidR="00DD22BF"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131338" w:rsidRPr="00C9671E">
        <w:rPr>
          <w:rFonts w:ascii="Times New Roman" w:hAnsi="Times New Roman" w:cs="Times New Roman"/>
          <w:sz w:val="24"/>
          <w:vertAlign w:val="superscript"/>
        </w:rPr>
        <w:footnoteReference w:id="1"/>
      </w:r>
      <w:r w:rsidR="00131338"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одобрувањето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Рамката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19</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одржа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првата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Меѓувладина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конференција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DD22BF"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веднаш</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020F93">
        <w:rPr>
          <w:rFonts w:ascii="Times New Roman" w:hAnsi="Times New Roman" w:cs="Times New Roman"/>
          <w:sz w:val="24"/>
        </w:rPr>
        <w:t xml:space="preserve">процесот на </w:t>
      </w:r>
      <w:r w:rsidR="00131338" w:rsidRPr="00C9671E">
        <w:rPr>
          <w:rFonts w:ascii="Times New Roman" w:hAnsi="Times New Roman" w:cs="Times New Roman"/>
          <w:sz w:val="24"/>
        </w:rPr>
        <w:t>аналитички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преглед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(скрининг)</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i/>
          <w:sz w:val="24"/>
        </w:rPr>
        <w:t>правото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претставува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прв</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чекор</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преговарачкиот</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процес.</w:t>
      </w:r>
    </w:p>
    <w:p w14:paraId="68A5C65D" w14:textId="17935F1D" w:rsidR="00131338" w:rsidRPr="00C9671E" w:rsidRDefault="004F3129" w:rsidP="006E0C51">
      <w:pPr>
        <w:spacing w:after="120" w:line="240" w:lineRule="auto"/>
        <w:jc w:val="both"/>
        <w:rPr>
          <w:rFonts w:ascii="Times New Roman" w:hAnsi="Times New Roman" w:cs="Times New Roman"/>
          <w:sz w:val="24"/>
          <w:szCs w:val="24"/>
        </w:rPr>
      </w:pPr>
      <w:r>
        <w:rPr>
          <w:rFonts w:ascii="Times New Roman" w:hAnsi="Times New Roman" w:cs="Times New Roman"/>
          <w:sz w:val="24"/>
        </w:rPr>
        <w:t>Органите</w:t>
      </w:r>
      <w:r w:rsidR="00020F93" w:rsidRPr="00C9671E">
        <w:rPr>
          <w:rFonts w:ascii="Times New Roman" w:hAnsi="Times New Roman" w:cs="Times New Roman"/>
          <w:sz w:val="24"/>
        </w:rPr>
        <w:t xml:space="preserve"> </w:t>
      </w:r>
      <w:r w:rsidR="00131338"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покажуваат,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00102BF7" w:rsidRPr="00C9671E">
        <w:rPr>
          <w:rFonts w:ascii="Times New Roman" w:hAnsi="Times New Roman" w:cs="Times New Roman"/>
          <w:sz w:val="24"/>
        </w:rPr>
        <w:t>свој</w:t>
      </w:r>
      <w:r w:rsidR="00131338" w:rsidRPr="00C9671E">
        <w:rPr>
          <w:rFonts w:ascii="Times New Roman" w:hAnsi="Times New Roman" w:cs="Times New Roman"/>
          <w:sz w:val="24"/>
        </w:rPr>
        <w:t>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посветеност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нивниот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усогласи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позициите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војната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Украина,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покажувајќи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тоа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еднаш</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доверлив</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партнер.</w:t>
      </w:r>
      <w:r w:rsidR="00E003C4" w:rsidRPr="00C9671E">
        <w:rPr>
          <w:rFonts w:ascii="Times New Roman" w:hAnsi="Times New Roman" w:cs="Times New Roman"/>
          <w:sz w:val="24"/>
        </w:rPr>
        <w:t xml:space="preserve"> </w:t>
      </w:r>
      <w:r>
        <w:rPr>
          <w:rFonts w:ascii="Times New Roman" w:hAnsi="Times New Roman" w:cs="Times New Roman"/>
          <w:sz w:val="24"/>
        </w:rPr>
        <w:t>Постојните</w:t>
      </w:r>
      <w:r w:rsidR="00A27FD5" w:rsidRPr="00C9671E">
        <w:rPr>
          <w:rFonts w:ascii="Times New Roman" w:hAnsi="Times New Roman" w:cs="Times New Roman"/>
          <w:sz w:val="24"/>
        </w:rPr>
        <w:t xml:space="preserve"> </w:t>
      </w:r>
      <w:r w:rsidR="00131338" w:rsidRPr="00C9671E">
        <w:rPr>
          <w:rFonts w:ascii="Times New Roman" w:hAnsi="Times New Roman" w:cs="Times New Roman"/>
          <w:sz w:val="24"/>
        </w:rPr>
        <w:t>предизвици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влошија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влијанието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новите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ризици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произлегуваат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агресијата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Русија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Украина,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високите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цени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енергијата,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стоките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храната,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комбинација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прекините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синџирот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снабдување.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презеде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ублажу</w:t>
      </w:r>
      <w:r w:rsidR="004624DB" w:rsidRPr="00C9671E">
        <w:rPr>
          <w:rFonts w:ascii="Times New Roman" w:hAnsi="Times New Roman" w:cs="Times New Roman"/>
          <w:sz w:val="24"/>
        </w:rPr>
        <w:t>вање</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влијанието</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војната.</w:t>
      </w:r>
    </w:p>
    <w:p w14:paraId="3AB7D84B" w14:textId="77777777" w:rsidR="00131338" w:rsidRPr="00C9671E" w:rsidRDefault="00131338" w:rsidP="006E0C51">
      <w:pPr>
        <w:keepNext/>
        <w:spacing w:after="120" w:line="240" w:lineRule="auto"/>
        <w:outlineLvl w:val="1"/>
        <w:rPr>
          <w:rFonts w:ascii="Times New Roman" w:eastAsia="Times New Roman" w:hAnsi="Times New Roman" w:cs="Times New Roman"/>
          <w:b/>
          <w:bCs/>
          <w:smallCaps/>
          <w:color w:val="000000" w:themeColor="text1"/>
          <w:sz w:val="24"/>
          <w:szCs w:val="24"/>
        </w:rPr>
      </w:pPr>
      <w:bookmarkStart w:id="13" w:name="_Toc84329762"/>
      <w:bookmarkStart w:id="14" w:name="_Toc84631564"/>
      <w:bookmarkStart w:id="15" w:name="_Toc115619774"/>
      <w:bookmarkStart w:id="16" w:name="_Toc117004145"/>
      <w:r w:rsidRPr="00C9671E">
        <w:rPr>
          <w:rFonts w:ascii="Times New Roman" w:hAnsi="Times New Roman" w:cs="Times New Roman"/>
          <w:b/>
          <w:smallCaps/>
          <w:color w:val="000000" w:themeColor="text1"/>
          <w:sz w:val="24"/>
        </w:rPr>
        <w:t>1</w:t>
      </w:r>
      <w:r w:rsidRPr="00C9671E">
        <w:rPr>
          <w:rStyle w:val="Heading2Char"/>
          <w:rFonts w:eastAsiaTheme="minorHAnsi"/>
        </w:rPr>
        <w:t>.2.</w:t>
      </w:r>
      <w:r w:rsidR="00E003C4" w:rsidRPr="00C9671E">
        <w:rPr>
          <w:rStyle w:val="Heading2Char"/>
          <w:rFonts w:eastAsiaTheme="minorHAnsi"/>
        </w:rPr>
        <w:t xml:space="preserve"> </w:t>
      </w:r>
      <w:r w:rsidRPr="00C9671E">
        <w:rPr>
          <w:rFonts w:ascii="Times New Roman" w:hAnsi="Times New Roman" w:cs="Times New Roman"/>
        </w:rPr>
        <w:tab/>
      </w:r>
      <w:r w:rsidRPr="00C9671E">
        <w:rPr>
          <w:rStyle w:val="Heading2Char"/>
          <w:rFonts w:eastAsiaTheme="minorHAnsi"/>
        </w:rPr>
        <w:t>Резиме</w:t>
      </w:r>
      <w:r w:rsidR="00E003C4" w:rsidRPr="00C9671E">
        <w:rPr>
          <w:rStyle w:val="Heading2Char"/>
          <w:rFonts w:eastAsiaTheme="minorHAnsi"/>
        </w:rPr>
        <w:t xml:space="preserve"> </w:t>
      </w:r>
      <w:r w:rsidRPr="00C9671E">
        <w:rPr>
          <w:rStyle w:val="Heading2Char"/>
          <w:rFonts w:eastAsiaTheme="minorHAnsi"/>
        </w:rPr>
        <w:t>на</w:t>
      </w:r>
      <w:r w:rsidR="00E003C4" w:rsidRPr="00C9671E">
        <w:rPr>
          <w:rStyle w:val="Heading2Char"/>
          <w:rFonts w:eastAsiaTheme="minorHAnsi"/>
        </w:rPr>
        <w:t xml:space="preserve"> </w:t>
      </w:r>
      <w:r w:rsidRPr="00C9671E">
        <w:rPr>
          <w:rStyle w:val="Heading2Char"/>
          <w:rFonts w:eastAsiaTheme="minorHAnsi"/>
        </w:rPr>
        <w:t>извештајот</w:t>
      </w:r>
      <w:r w:rsidRPr="00C9671E">
        <w:rPr>
          <w:rFonts w:ascii="Times New Roman" w:hAnsi="Times New Roman" w:cs="Times New Roman"/>
          <w:b/>
          <w:smallCaps/>
          <w:color w:val="000000" w:themeColor="text1"/>
          <w:sz w:val="24"/>
          <w:vertAlign w:val="superscript"/>
        </w:rPr>
        <w:footnoteReference w:id="2"/>
      </w:r>
      <w:bookmarkEnd w:id="13"/>
      <w:bookmarkEnd w:id="14"/>
      <w:bookmarkEnd w:id="15"/>
      <w:bookmarkEnd w:id="16"/>
    </w:p>
    <w:p w14:paraId="39F18E69"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карактеризира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интензивни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почеток</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D22BF"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00DD22BF" w:rsidRPr="00C9671E">
        <w:rPr>
          <w:rFonts w:ascii="Times New Roman" w:hAnsi="Times New Roman" w:cs="Times New Roman"/>
          <w:sz w:val="24"/>
        </w:rPr>
        <w:t>преговори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Меѓувладина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конференција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историски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момент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означи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пристапниот</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процес</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јасно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признание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решеноста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w:t>
      </w:r>
      <w:r w:rsidR="00EB0E56" w:rsidRPr="00C9671E">
        <w:rPr>
          <w:rFonts w:ascii="Times New Roman" w:hAnsi="Times New Roman" w:cs="Times New Roman"/>
          <w:sz w:val="24"/>
        </w:rPr>
        <w:t>оведе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реформите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ЕУ.</w:t>
      </w:r>
    </w:p>
    <w:p w14:paraId="02F131D5" w14:textId="4B3DEC9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политичките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критериуми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предизвици.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покажа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посветеност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резултати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клучните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7A6BF3">
        <w:rPr>
          <w:rFonts w:ascii="Times New Roman" w:hAnsi="Times New Roman" w:cs="Times New Roman"/>
          <w:sz w:val="24"/>
        </w:rPr>
        <w:t>Фундаменталните вредности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одржаа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октомври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човекови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(ОБСЕ/ОДИХР)</w:t>
      </w:r>
      <w:r w:rsidR="00E003C4" w:rsidRPr="00C9671E">
        <w:rPr>
          <w:rFonts w:ascii="Times New Roman" w:hAnsi="Times New Roman" w:cs="Times New Roman"/>
          <w:sz w:val="24"/>
        </w:rPr>
        <w:t xml:space="preserve"> </w:t>
      </w:r>
      <w:r w:rsidRPr="00C9671E">
        <w:rPr>
          <w:rFonts w:ascii="Times New Roman" w:hAnsi="Times New Roman" w:cs="Times New Roman"/>
          <w:sz w:val="24"/>
        </w:rPr>
        <w:t>оцени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конкурентни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фундаменталните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слободи</w:t>
      </w:r>
      <w:r w:rsidR="00E003C4" w:rsidRPr="00C9671E">
        <w:rPr>
          <w:rFonts w:ascii="Times New Roman" w:hAnsi="Times New Roman" w:cs="Times New Roman"/>
          <w:sz w:val="24"/>
        </w:rPr>
        <w:t xml:space="preserve"> </w:t>
      </w:r>
      <w:r w:rsidRPr="00C9671E">
        <w:rPr>
          <w:rFonts w:ascii="Times New Roman" w:hAnsi="Times New Roman" w:cs="Times New Roman"/>
          <w:sz w:val="24"/>
        </w:rPr>
        <w:t>широко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почитуваа.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7A6BF3">
        <w:rPr>
          <w:rFonts w:ascii="Times New Roman" w:hAnsi="Times New Roman" w:cs="Times New Roman"/>
          <w:sz w:val="24"/>
        </w:rPr>
        <w:t>надминувањето</w:t>
      </w:r>
      <w:r w:rsidR="007A6BF3"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неспроведените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ОБСЕ/ОДИХР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Венецијанската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споменато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сеопфатно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533BB3">
        <w:rPr>
          <w:rFonts w:ascii="Times New Roman" w:hAnsi="Times New Roman" w:cs="Times New Roman"/>
          <w:sz w:val="24"/>
        </w:rPr>
        <w:t>прегледа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решат</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постојните</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недоследности,</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соодветните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порано</w:t>
      </w:r>
      <w:r w:rsidR="00E003C4" w:rsidRPr="00C9671E">
        <w:rPr>
          <w:rFonts w:ascii="Times New Roman" w:hAnsi="Times New Roman" w:cs="Times New Roman"/>
          <w:sz w:val="24"/>
        </w:rPr>
        <w:t xml:space="preserve"> </w:t>
      </w:r>
      <w:r w:rsidR="00797E4E"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00CA70E1" w:rsidRPr="00C9671E">
        <w:rPr>
          <w:rFonts w:ascii="Times New Roman" w:hAnsi="Times New Roman" w:cs="Times New Roman"/>
          <w:sz w:val="24"/>
        </w:rPr>
        <w:t>следн</w:t>
      </w:r>
      <w:r w:rsidR="00102BF7" w:rsidRPr="00C9671E">
        <w:rPr>
          <w:rFonts w:ascii="Times New Roman" w:hAnsi="Times New Roman" w:cs="Times New Roman"/>
          <w:sz w:val="24"/>
        </w:rPr>
        <w:t>и</w:t>
      </w:r>
      <w:r w:rsidR="00CA70E1"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поглед,</w:t>
      </w:r>
      <w:r w:rsidR="00E003C4" w:rsidRPr="00C9671E">
        <w:rPr>
          <w:rFonts w:ascii="Times New Roman" w:hAnsi="Times New Roman" w:cs="Times New Roman"/>
          <w:sz w:val="24"/>
        </w:rPr>
        <w:t xml:space="preserve"> </w:t>
      </w:r>
      <w:r w:rsidR="00533BB3">
        <w:rPr>
          <w:rFonts w:ascii="Times New Roman" w:hAnsi="Times New Roman" w:cs="Times New Roman"/>
          <w:sz w:val="24"/>
        </w:rPr>
        <w:t>органите</w:t>
      </w:r>
      <w:r w:rsidR="00533BB3"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засилат</w:t>
      </w:r>
      <w:r w:rsidR="00E003C4" w:rsidRPr="00C9671E">
        <w:rPr>
          <w:rFonts w:ascii="Times New Roman" w:hAnsi="Times New Roman" w:cs="Times New Roman"/>
          <w:sz w:val="24"/>
        </w:rPr>
        <w:t xml:space="preserve"> </w:t>
      </w:r>
      <w:r w:rsidR="00102BF7" w:rsidRPr="00C9671E">
        <w:rPr>
          <w:rFonts w:ascii="Times New Roman" w:hAnsi="Times New Roman" w:cs="Times New Roman"/>
          <w:sz w:val="24"/>
        </w:rPr>
        <w:t>сво</w:t>
      </w:r>
      <w:r w:rsidRPr="00C9671E">
        <w:rPr>
          <w:rFonts w:ascii="Times New Roman" w:hAnsi="Times New Roman" w:cs="Times New Roman"/>
          <w:sz w:val="24"/>
        </w:rPr>
        <w:t>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покажат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волја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понатамошно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w:t>
      </w:r>
    </w:p>
    <w:p w14:paraId="7A116A21"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нарушена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поларизација,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интензивните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дебати,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заклучоци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предлогот,</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позитивна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брзи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форум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конструктивен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дијалог,</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реформск</w:t>
      </w:r>
      <w:r w:rsidR="00847E72" w:rsidRPr="00C9671E">
        <w:rPr>
          <w:rFonts w:ascii="Times New Roman" w:hAnsi="Times New Roman" w:cs="Times New Roman"/>
          <w:sz w:val="24"/>
        </w:rPr>
        <w:t>ата</w:t>
      </w:r>
      <w:r w:rsidR="00E003C4" w:rsidRPr="00C9671E">
        <w:rPr>
          <w:rFonts w:ascii="Times New Roman" w:hAnsi="Times New Roman" w:cs="Times New Roman"/>
          <w:sz w:val="24"/>
        </w:rPr>
        <w:t xml:space="preserve"> </w:t>
      </w:r>
      <w:r w:rsidR="00847E72" w:rsidRPr="00C9671E">
        <w:rPr>
          <w:rFonts w:ascii="Times New Roman" w:hAnsi="Times New Roman" w:cs="Times New Roman"/>
          <w:sz w:val="24"/>
        </w:rPr>
        <w:t>агенда</w:t>
      </w:r>
      <w:r w:rsidR="00E003C4" w:rsidRPr="00C9671E">
        <w:rPr>
          <w:rFonts w:ascii="Times New Roman" w:hAnsi="Times New Roman" w:cs="Times New Roman"/>
          <w:sz w:val="24"/>
        </w:rPr>
        <w:t xml:space="preserve"> </w:t>
      </w:r>
      <w:r w:rsidR="00847E72"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47E72"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847E72"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00847E72"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47E72"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обврзаа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Уставот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вметнат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граѓаните</w:t>
      </w:r>
      <w:r w:rsidR="00E003C4" w:rsidRPr="00C9671E">
        <w:rPr>
          <w:rFonts w:ascii="Times New Roman" w:hAnsi="Times New Roman" w:cs="Times New Roman"/>
          <w:sz w:val="24"/>
        </w:rPr>
        <w:t xml:space="preserve"> </w:t>
      </w:r>
      <w:r w:rsidR="00102BF7"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живеат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консултации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ограничи</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скратени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контрола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разгледување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поредовна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Предлозите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круг</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„Дијалогот</w:t>
      </w:r>
      <w:r w:rsidR="00E003C4" w:rsidRPr="00C9671E">
        <w:rPr>
          <w:rFonts w:ascii="Times New Roman" w:hAnsi="Times New Roman" w:cs="Times New Roman"/>
          <w:sz w:val="24"/>
        </w:rPr>
        <w:t xml:space="preserve"> </w:t>
      </w:r>
      <w:r w:rsidRPr="00C9671E">
        <w:rPr>
          <w:rFonts w:ascii="Times New Roman" w:hAnsi="Times New Roman" w:cs="Times New Roman"/>
          <w:sz w:val="24"/>
        </w:rPr>
        <w:t>Жан</w:t>
      </w:r>
      <w:r w:rsidR="00E003C4" w:rsidRPr="00C9671E">
        <w:rPr>
          <w:rFonts w:ascii="Times New Roman" w:hAnsi="Times New Roman" w:cs="Times New Roman"/>
          <w:sz w:val="24"/>
        </w:rPr>
        <w:t xml:space="preserve"> </w:t>
      </w:r>
      <w:r w:rsidRPr="00C9671E">
        <w:rPr>
          <w:rFonts w:ascii="Times New Roman" w:hAnsi="Times New Roman" w:cs="Times New Roman"/>
          <w:sz w:val="24"/>
        </w:rPr>
        <w:t>Моне“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без</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понатамошно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одлагање.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нападот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27</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2017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второстепените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војната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Украина.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изгради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моментум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придвижи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Потребен</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посебен</w:t>
      </w:r>
      <w:r w:rsidR="00E003C4" w:rsidRPr="00C9671E">
        <w:rPr>
          <w:rFonts w:ascii="Times New Roman" w:hAnsi="Times New Roman" w:cs="Times New Roman"/>
          <w:sz w:val="24"/>
        </w:rPr>
        <w:t xml:space="preserve"> </w:t>
      </w:r>
      <w:r w:rsidRPr="00C9671E">
        <w:rPr>
          <w:rFonts w:ascii="Times New Roman" w:hAnsi="Times New Roman" w:cs="Times New Roman"/>
          <w:sz w:val="24"/>
        </w:rPr>
        <w:t>фокус</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D27543" w:rsidRPr="00C9671E">
        <w:rPr>
          <w:rFonts w:ascii="Times New Roman" w:hAnsi="Times New Roman" w:cs="Times New Roman"/>
          <w:sz w:val="24"/>
        </w:rPr>
        <w:t>осигурување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ад</w:t>
      </w:r>
      <w:r w:rsidR="00E003C4" w:rsidRPr="00C9671E">
        <w:rPr>
          <w:rFonts w:ascii="Times New Roman" w:hAnsi="Times New Roman" w:cs="Times New Roman"/>
          <w:sz w:val="24"/>
        </w:rPr>
        <w:t xml:space="preserve"> </w:t>
      </w:r>
      <w:r w:rsidRPr="00C9671E">
        <w:rPr>
          <w:rFonts w:ascii="Times New Roman" w:hAnsi="Times New Roman" w:cs="Times New Roman"/>
          <w:sz w:val="24"/>
        </w:rPr>
        <w:t>хок</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Меѓуетничките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стабилни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Охридскиот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рамковен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EB0E56" w:rsidRPr="00C9671E">
        <w:rPr>
          <w:rFonts w:ascii="Times New Roman" w:hAnsi="Times New Roman" w:cs="Times New Roman"/>
          <w:sz w:val="24"/>
        </w:rPr>
        <w:t>.</w:t>
      </w:r>
    </w:p>
    <w:p w14:paraId="09216536" w14:textId="190427B8"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Граѓанските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поволна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средина,</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п</w:t>
      </w:r>
      <w:r w:rsidR="000F2C20" w:rsidRPr="00C9671E">
        <w:rPr>
          <w:rFonts w:ascii="Times New Roman" w:hAnsi="Times New Roman" w:cs="Times New Roman"/>
          <w:sz w:val="24"/>
        </w:rPr>
        <w:t>о</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С</w:t>
      </w:r>
      <w:r w:rsidRPr="00C9671E">
        <w:rPr>
          <w:rFonts w:ascii="Times New Roman" w:hAnsi="Times New Roman" w:cs="Times New Roman"/>
          <w:sz w:val="24"/>
        </w:rPr>
        <w:t>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102BF7"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2024.</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игра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креирањето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инклузивноста</w:t>
      </w:r>
      <w:r w:rsidR="00E003C4" w:rsidRPr="00C9671E">
        <w:rPr>
          <w:rFonts w:ascii="Times New Roman" w:hAnsi="Times New Roman" w:cs="Times New Roman"/>
          <w:sz w:val="24"/>
        </w:rPr>
        <w:t xml:space="preserve"> </w:t>
      </w:r>
      <w:r w:rsidR="00526026">
        <w:rPr>
          <w:rFonts w:ascii="Times New Roman" w:hAnsi="Times New Roman" w:cs="Times New Roman"/>
          <w:sz w:val="24"/>
        </w:rPr>
        <w:t>во</w:t>
      </w:r>
      <w:r w:rsidR="00526026" w:rsidRPr="00C9671E">
        <w:rPr>
          <w:rFonts w:ascii="Times New Roman" w:hAnsi="Times New Roman" w:cs="Times New Roman"/>
          <w:sz w:val="24"/>
        </w:rPr>
        <w:t xml:space="preserve"> </w:t>
      </w:r>
      <w:r w:rsidRPr="00C9671E">
        <w:rPr>
          <w:rFonts w:ascii="Times New Roman" w:hAnsi="Times New Roman" w:cs="Times New Roman"/>
          <w:sz w:val="24"/>
        </w:rPr>
        <w:t>консултативните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практика.</w:t>
      </w:r>
    </w:p>
    <w:p w14:paraId="61347E57"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color w:val="000000"/>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00D27543" w:rsidRPr="00C9671E">
        <w:rPr>
          <w:rFonts w:ascii="Times New Roman" w:hAnsi="Times New Roman" w:cs="Times New Roman"/>
          <w:sz w:val="24"/>
        </w:rPr>
        <w:t>сеопфатни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разузнавачки</w:t>
      </w:r>
      <w:r w:rsidR="005A53F2" w:rsidRPr="00C9671E">
        <w:rPr>
          <w:rFonts w:ascii="Times New Roman" w:hAnsi="Times New Roman" w:cs="Times New Roman"/>
          <w:b/>
          <w:sz w:val="24"/>
        </w:rPr>
        <w:t>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служби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зајакне</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свој</w:t>
      </w:r>
      <w:r w:rsidRPr="00C9671E">
        <w:rPr>
          <w:rFonts w:ascii="Times New Roman" w:hAnsi="Times New Roman" w:cs="Times New Roman"/>
          <w:sz w:val="24"/>
        </w:rPr>
        <w:t>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капацитет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002B0B92"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разузнавачките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служби.</w:t>
      </w:r>
    </w:p>
    <w:p w14:paraId="35DFB283" w14:textId="7122A9C1" w:rsidR="00131338" w:rsidRPr="00C9671E" w:rsidRDefault="00131338" w:rsidP="006E0C51">
      <w:pPr>
        <w:spacing w:after="120" w:line="240" w:lineRule="auto"/>
        <w:jc w:val="both"/>
        <w:rPr>
          <w:rFonts w:ascii="Times New Roman" w:eastAsia="Calibri"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533BB3">
        <w:rPr>
          <w:rFonts w:ascii="Times New Roman" w:hAnsi="Times New Roman" w:cs="Times New Roman"/>
          <w:sz w:val="24"/>
        </w:rPr>
        <w:t>нејзината</w:t>
      </w:r>
      <w:r w:rsidR="00533BB3" w:rsidRPr="00C9671E">
        <w:rPr>
          <w:rFonts w:ascii="Times New Roman" w:hAnsi="Times New Roman" w:cs="Times New Roman"/>
          <w:sz w:val="24"/>
        </w:rPr>
        <w:t xml:space="preserve"> </w:t>
      </w:r>
      <w:r w:rsidRPr="00C9671E">
        <w:rPr>
          <w:rFonts w:ascii="Times New Roman" w:hAnsi="Times New Roman" w:cs="Times New Roman"/>
          <w:b/>
          <w:sz w:val="24"/>
        </w:rPr>
        <w:t>реформа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администрација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526026">
        <w:rPr>
          <w:rFonts w:ascii="Times New Roman" w:hAnsi="Times New Roman" w:cs="Times New Roman"/>
          <w:sz w:val="24"/>
        </w:rPr>
        <w:t>т 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минатата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526026">
        <w:rPr>
          <w:rFonts w:ascii="Times New Roman" w:hAnsi="Times New Roman" w:cs="Times New Roman"/>
          <w:sz w:val="24"/>
        </w:rPr>
        <w:t>Се</w:t>
      </w:r>
      <w:r w:rsidR="00526026"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526026">
        <w:rPr>
          <w:rFonts w:ascii="Times New Roman" w:hAnsi="Times New Roman" w:cs="Times New Roman"/>
          <w:sz w:val="24"/>
        </w:rPr>
        <w:t>јавниот 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00526026" w:rsidRPr="00C9671E">
        <w:rPr>
          <w:rFonts w:ascii="Times New Roman" w:hAnsi="Times New Roman" w:cs="Times New Roman"/>
          <w:sz w:val="24"/>
        </w:rPr>
        <w:t>поголем</w:t>
      </w:r>
      <w:r w:rsidR="00533BB3">
        <w:rPr>
          <w:rFonts w:ascii="Times New Roman" w:hAnsi="Times New Roman" w:cs="Times New Roman"/>
          <w:sz w:val="24"/>
        </w:rPr>
        <w:t xml:space="preserve"> 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унапредувања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отпуштања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526026">
        <w:rPr>
          <w:rFonts w:ascii="Times New Roman" w:hAnsi="Times New Roman" w:cs="Times New Roman"/>
          <w:sz w:val="24"/>
        </w:rPr>
        <w:t>на раководно ниво</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6C5B4B">
        <w:rPr>
          <w:rFonts w:ascii="Times New Roman" w:hAnsi="Times New Roman" w:cs="Times New Roman"/>
          <w:sz w:val="24"/>
        </w:rPr>
        <w:t>и</w:t>
      </w:r>
      <w:r w:rsidR="00E003C4" w:rsidRPr="00C9671E">
        <w:rPr>
          <w:rFonts w:ascii="Times New Roman" w:hAnsi="Times New Roman" w:cs="Times New Roman"/>
          <w:sz w:val="24"/>
        </w:rPr>
        <w:t xml:space="preserve"> </w:t>
      </w:r>
      <w:r w:rsidR="00D27543"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спречување</w:t>
      </w:r>
      <w:r w:rsidR="00E003C4" w:rsidRPr="00C9671E">
        <w:rPr>
          <w:rFonts w:ascii="Times New Roman" w:hAnsi="Times New Roman" w:cs="Times New Roman"/>
          <w:sz w:val="24"/>
        </w:rPr>
        <w:t xml:space="preserve"> </w:t>
      </w:r>
      <w:r w:rsidR="0046458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464586" w:rsidRPr="00C9671E">
        <w:rPr>
          <w:rFonts w:ascii="Times New Roman" w:hAnsi="Times New Roman" w:cs="Times New Roman"/>
          <w:sz w:val="24"/>
        </w:rPr>
        <w:t>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непотизам,</w:t>
      </w:r>
      <w:r w:rsidR="00E003C4" w:rsidRPr="00C9671E">
        <w:rPr>
          <w:rFonts w:ascii="Times New Roman" w:hAnsi="Times New Roman" w:cs="Times New Roman"/>
          <w:sz w:val="24"/>
        </w:rPr>
        <w:t xml:space="preserve"> </w:t>
      </w:r>
      <w:r w:rsidR="006C5B4B">
        <w:rPr>
          <w:rFonts w:ascii="Times New Roman" w:hAnsi="Times New Roman" w:cs="Times New Roman"/>
          <w:sz w:val="24"/>
        </w:rPr>
        <w:t>кронизам</w:t>
      </w:r>
      <w:r w:rsidR="006C5B4B"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влијание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w:t>
      </w:r>
      <w:r w:rsidR="00EB0E56"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надзорни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управни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одбори.</w:t>
      </w:r>
    </w:p>
    <w:p w14:paraId="61D01C70" w14:textId="1BD5A55C" w:rsidR="00131338" w:rsidRPr="00C9671E" w:rsidRDefault="00F17626"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Правосудниот</w:t>
      </w:r>
      <w:r w:rsidR="00E003C4" w:rsidRPr="00C9671E">
        <w:rPr>
          <w:rFonts w:ascii="Times New Roman" w:hAnsi="Times New Roman" w:cs="Times New Roman"/>
          <w:b/>
          <w:sz w:val="24"/>
        </w:rPr>
        <w:t xml:space="preserve"> </w:t>
      </w:r>
      <w:r w:rsidR="00131338" w:rsidRPr="00C9671E">
        <w:rPr>
          <w:rFonts w:ascii="Times New Roman" w:hAnsi="Times New Roman" w:cs="Times New Roman"/>
          <w:b/>
          <w:sz w:val="24"/>
        </w:rPr>
        <w:t>систем</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00464586" w:rsidRPr="00C9671E">
        <w:rPr>
          <w:rFonts w:ascii="Times New Roman" w:hAnsi="Times New Roman" w:cs="Times New Roman"/>
          <w:sz w:val="24"/>
        </w:rPr>
        <w:t>одредено</w:t>
      </w:r>
      <w:r w:rsidR="00E003C4" w:rsidRPr="00C9671E">
        <w:rPr>
          <w:rFonts w:ascii="Times New Roman" w:hAnsi="Times New Roman" w:cs="Times New Roman"/>
          <w:sz w:val="24"/>
        </w:rPr>
        <w:t xml:space="preserve"> </w:t>
      </w:r>
      <w:r w:rsidR="00464586"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0046458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464586" w:rsidRPr="00C9671E">
        <w:rPr>
          <w:rFonts w:ascii="Times New Roman" w:hAnsi="Times New Roman" w:cs="Times New Roman"/>
          <w:sz w:val="24"/>
        </w:rPr>
        <w:t>подготвеност/</w:t>
      </w:r>
      <w:r w:rsidR="00131338"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подготвен.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полето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w:t>
      </w:r>
      <w:r w:rsidR="00131338" w:rsidRPr="00C9671E">
        <w:rPr>
          <w:rFonts w:ascii="Times New Roman" w:hAnsi="Times New Roman" w:cs="Times New Roman"/>
          <w:sz w:val="24"/>
        </w:rPr>
        <w:t>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постојаното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Венецијанската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Високата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експертска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група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системски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владеењето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bookmarkStart w:id="17" w:name="_Hlk114690726"/>
      <w:r w:rsidR="00131338" w:rsidRPr="00C9671E">
        <w:rPr>
          <w:rFonts w:ascii="Times New Roman" w:hAnsi="Times New Roman" w:cs="Times New Roman"/>
          <w:sz w:val="24"/>
        </w:rPr>
        <w:t>Започната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подготовката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инклузивен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начин,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надградувајќи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научените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лекции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минатиот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bookmarkEnd w:id="17"/>
      <w:r w:rsidR="00131338"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ажурираниот</w:t>
      </w:r>
      <w:r w:rsidR="00E003C4" w:rsidRPr="00C9671E">
        <w:rPr>
          <w:rFonts w:ascii="Times New Roman" w:hAnsi="Times New Roman" w:cs="Times New Roman"/>
          <w:sz w:val="24"/>
        </w:rPr>
        <w:t xml:space="preserve"> </w:t>
      </w:r>
      <w:r w:rsidR="005313BA" w:rsidRPr="00705B41">
        <w:rPr>
          <w:rFonts w:ascii="Times New Roman" w:hAnsi="Times New Roman" w:cs="Times New Roman"/>
          <w:sz w:val="24"/>
        </w:rPr>
        <w:t>a</w:t>
      </w:r>
      <w:r w:rsidR="00131338" w:rsidRPr="00C9671E">
        <w:rPr>
          <w:rFonts w:ascii="Times New Roman" w:hAnsi="Times New Roman" w:cs="Times New Roman"/>
          <w:sz w:val="24"/>
        </w:rPr>
        <w:t>кциски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D27543"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посистематско.</w:t>
      </w:r>
      <w:r w:rsidR="00E003C4" w:rsidRPr="00C9671E">
        <w:rPr>
          <w:rFonts w:ascii="Times New Roman" w:hAnsi="Times New Roman" w:cs="Times New Roman"/>
          <w:sz w:val="24"/>
        </w:rPr>
        <w:t xml:space="preserve"> </w:t>
      </w:r>
      <w:bookmarkStart w:id="18" w:name="_Hlk114690778"/>
      <w:r w:rsidR="00131338"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покажа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посветеност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заштити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интегритетот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независноста.</w:t>
      </w:r>
      <w:r w:rsidR="00E003C4" w:rsidRPr="00C9671E">
        <w:rPr>
          <w:rFonts w:ascii="Times New Roman" w:hAnsi="Times New Roman" w:cs="Times New Roman"/>
          <w:sz w:val="24"/>
        </w:rPr>
        <w:t xml:space="preserve"> </w:t>
      </w:r>
      <w:bookmarkEnd w:id="18"/>
      <w:r w:rsidR="00131338"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забрза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темпото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стратегиите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обвинителството.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Правосудните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доследно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спроведуваат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новите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правила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именувањe,</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унапредување,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дисциплин</w:t>
      </w:r>
      <w:r w:rsidR="006C5B4B">
        <w:rPr>
          <w:rFonts w:ascii="Times New Roman" w:hAnsi="Times New Roman" w:cs="Times New Roman"/>
          <w:sz w:val="24"/>
        </w:rPr>
        <w:t>ска одговорност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разрешување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Кај</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унапредувањата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повисоките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одложувања,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пензионирањата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повеќе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намалиј</w:t>
      </w:r>
      <w:bookmarkStart w:id="19" w:name="_Hlk114690895"/>
      <w:r w:rsidR="004624DB"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спроведување</w:t>
      </w:r>
      <w:r w:rsidR="00C2048C" w:rsidRPr="00C9671E">
        <w:rPr>
          <w:rFonts w:ascii="Times New Roman" w:hAnsi="Times New Roman" w:cs="Times New Roman"/>
          <w:sz w:val="24"/>
        </w:rPr>
        <w:t>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7134BE">
        <w:rPr>
          <w:rFonts w:ascii="Times New Roman" w:hAnsi="Times New Roman" w:cs="Times New Roman"/>
          <w:sz w:val="24"/>
        </w:rPr>
        <w:t>стратегиските</w:t>
      </w:r>
      <w:r w:rsidR="006C5B4B" w:rsidRPr="00C9671E">
        <w:rPr>
          <w:rFonts w:ascii="Times New Roman" w:hAnsi="Times New Roman" w:cs="Times New Roman"/>
          <w:sz w:val="24"/>
        </w:rPr>
        <w:t xml:space="preserve"> </w:t>
      </w:r>
      <w:r w:rsidR="00131338" w:rsidRPr="00C9671E">
        <w:rPr>
          <w:rFonts w:ascii="Times New Roman" w:hAnsi="Times New Roman" w:cs="Times New Roman"/>
          <w:sz w:val="24"/>
        </w:rPr>
        <w:t>планови.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Секој</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предлог-закон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006C5B4B">
        <w:rPr>
          <w:rFonts w:ascii="Times New Roman" w:hAnsi="Times New Roman" w:cs="Times New Roman"/>
          <w:sz w:val="24"/>
        </w:rPr>
        <w:t>задржи</w:t>
      </w:r>
      <w:r w:rsidR="006C5B4B" w:rsidRPr="00C9671E">
        <w:rPr>
          <w:rFonts w:ascii="Times New Roman" w:hAnsi="Times New Roman" w:cs="Times New Roman"/>
          <w:sz w:val="24"/>
        </w:rPr>
        <w:t xml:space="preserve"> </w:t>
      </w:r>
      <w:r w:rsidR="00131338"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единствена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точка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обвинителството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праведен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транспарентен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професии.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работеше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надградба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софтверскиот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движењето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автоматски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случаен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пат,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Информацискиот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автоматско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(АКМИС).</w:t>
      </w:r>
      <w:bookmarkEnd w:id="19"/>
    </w:p>
    <w:p w14:paraId="07DFCE28" w14:textId="341F6CBE"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спречувањето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борбата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против</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корупцијата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оглед</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консолидира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евиденција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незаконското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прислушување.</w:t>
      </w:r>
      <w:r w:rsidR="00E003C4" w:rsidRPr="00C9671E">
        <w:rPr>
          <w:rFonts w:ascii="Times New Roman" w:hAnsi="Times New Roman" w:cs="Times New Roman"/>
          <w:sz w:val="24"/>
        </w:rPr>
        <w:t xml:space="preserve"> </w:t>
      </w:r>
      <w:bookmarkStart w:id="20" w:name="_Hlk114690927"/>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bookmarkEnd w:id="20"/>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давањето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006C5B4B">
        <w:rPr>
          <w:rFonts w:ascii="Times New Roman" w:hAnsi="Times New Roman" w:cs="Times New Roman"/>
          <w:sz w:val="24"/>
        </w:rPr>
        <w:t>во</w:t>
      </w:r>
      <w:r w:rsidR="006C5B4B" w:rsidRPr="00C9671E">
        <w:rPr>
          <w:rFonts w:ascii="Times New Roman" w:hAnsi="Times New Roman" w:cs="Times New Roman"/>
          <w:sz w:val="24"/>
        </w:rPr>
        <w:t xml:space="preserve"> </w:t>
      </w:r>
      <w:r w:rsidRPr="00C9671E">
        <w:rPr>
          <w:rFonts w:ascii="Times New Roman" w:hAnsi="Times New Roman" w:cs="Times New Roman"/>
          <w:sz w:val="24"/>
        </w:rPr>
        <w:t>политиките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високи</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функционери.</w:t>
      </w:r>
      <w:r w:rsidR="00E003C4" w:rsidRPr="00C9671E">
        <w:rPr>
          <w:rFonts w:ascii="Times New Roman" w:hAnsi="Times New Roman" w:cs="Times New Roman"/>
          <w:sz w:val="24"/>
        </w:rPr>
        <w:t xml:space="preserve"> </w:t>
      </w:r>
      <w:bookmarkStart w:id="21" w:name="_Hlk114690947"/>
      <w:r w:rsidRPr="00C9671E">
        <w:rPr>
          <w:rFonts w:ascii="Times New Roman" w:hAnsi="Times New Roman" w:cs="Times New Roman"/>
          <w:sz w:val="24"/>
        </w:rPr>
        <w:t>Заклучоците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нејзините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редовни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разгледаат.</w:t>
      </w:r>
      <w:r w:rsidR="00E003C4" w:rsidRPr="00C9671E">
        <w:rPr>
          <w:rFonts w:ascii="Times New Roman" w:hAnsi="Times New Roman" w:cs="Times New Roman"/>
          <w:sz w:val="24"/>
        </w:rPr>
        <w:t xml:space="preserve"> </w:t>
      </w:r>
      <w:bookmarkEnd w:id="21"/>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натамошна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стават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располагање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6C5B4B">
        <w:rPr>
          <w:rFonts w:ascii="Times New Roman" w:hAnsi="Times New Roman" w:cs="Times New Roman"/>
          <w:sz w:val="24"/>
        </w:rPr>
        <w:t>органите</w:t>
      </w:r>
      <w:r w:rsidR="006C5B4B"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задолжени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најранливи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ризик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w:t>
      </w:r>
    </w:p>
    <w:p w14:paraId="2FF4835D"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w:t>
      </w:r>
      <w:r w:rsidR="00645884" w:rsidRPr="00C9671E">
        <w:rPr>
          <w:rFonts w:ascii="Times New Roman" w:hAnsi="Times New Roman" w:cs="Times New Roman"/>
          <w:sz w:val="24"/>
        </w:rPr>
        <w:t>ија</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одредено</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подгот</w:t>
      </w:r>
      <w:r w:rsidRPr="00C9671E">
        <w:rPr>
          <w:rFonts w:ascii="Times New Roman" w:hAnsi="Times New Roman" w:cs="Times New Roman"/>
          <w:sz w:val="24"/>
        </w:rPr>
        <w:t>в</w:t>
      </w:r>
      <w:r w:rsidR="00FB637B" w:rsidRPr="00C9671E">
        <w:rPr>
          <w:rFonts w:ascii="Times New Roman" w:hAnsi="Times New Roman" w:cs="Times New Roman"/>
          <w:sz w:val="24"/>
        </w:rPr>
        <w:t>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b/>
          <w:sz w:val="24"/>
        </w:rPr>
        <w:t>борбата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против</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организираниот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оперативната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меѓународните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партнери,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координацијата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направи</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координацијата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p>
    <w:p w14:paraId="52604E6A"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b/>
          <w:sz w:val="24"/>
        </w:rPr>
        <w:t>борбата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против</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тероризмот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спречување</w:t>
      </w:r>
      <w:r w:rsidR="003E6263" w:rsidRPr="00C9671E">
        <w:rPr>
          <w:rFonts w:ascii="Times New Roman" w:hAnsi="Times New Roman" w:cs="Times New Roman"/>
          <w:b/>
          <w:sz w:val="24"/>
        </w:rPr>
        <w:t>/</w:t>
      </w:r>
      <w:r w:rsidRPr="00C9671E">
        <w:rPr>
          <w:rFonts w:ascii="Times New Roman" w:hAnsi="Times New Roman" w:cs="Times New Roman"/>
          <w:b/>
          <w:sz w:val="24"/>
        </w:rPr>
        <w:t>борба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против</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насилниот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екстремизам</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заедничкиот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тероризмот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Западен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Балкан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билатералниот</w:t>
      </w:r>
      <w:r w:rsidR="00E003C4" w:rsidRPr="00C9671E">
        <w:rPr>
          <w:rFonts w:ascii="Times New Roman" w:hAnsi="Times New Roman" w:cs="Times New Roman"/>
          <w:sz w:val="24"/>
        </w:rPr>
        <w:t xml:space="preserve"> </w:t>
      </w:r>
      <w:r w:rsidR="004B22F2" w:rsidRPr="00C9671E">
        <w:rPr>
          <w:rFonts w:ascii="Times New Roman" w:hAnsi="Times New Roman" w:cs="Times New Roman"/>
          <w:sz w:val="24"/>
        </w:rPr>
        <w:t>договор</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тероризам</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00645884"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2023)</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реинтеграција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ресоцијализација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повратниците,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дерадикализација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затворите.</w:t>
      </w:r>
    </w:p>
    <w:p w14:paraId="53AD2B39" w14:textId="4C9C9ECA"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фундаменталните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деинституционализација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преселување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попреченост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6C5B4B">
        <w:rPr>
          <w:rFonts w:ascii="Times New Roman" w:hAnsi="Times New Roman" w:cs="Times New Roman"/>
          <w:sz w:val="24"/>
        </w:rPr>
        <w:t>објекти</w:t>
      </w:r>
      <w:r w:rsidR="006C5B4B"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труд</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инвестира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каде</w:t>
      </w:r>
      <w:r w:rsidR="00E003C4" w:rsidRPr="00C9671E">
        <w:rPr>
          <w:rFonts w:ascii="Times New Roman" w:hAnsi="Times New Roman" w:cs="Times New Roman"/>
          <w:sz w:val="24"/>
        </w:rPr>
        <w:t xml:space="preserve"> </w:t>
      </w:r>
      <w:r w:rsidR="00877DF5"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спаѓа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жртвите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родово</w:t>
      </w:r>
      <w:r w:rsidR="00E003C4" w:rsidRPr="00C9671E">
        <w:rPr>
          <w:rFonts w:ascii="Times New Roman" w:hAnsi="Times New Roman" w:cs="Times New Roman"/>
          <w:sz w:val="24"/>
        </w:rPr>
        <w:t xml:space="preserve"> </w:t>
      </w:r>
      <w:r w:rsidRPr="00C9671E">
        <w:rPr>
          <w:rFonts w:ascii="Times New Roman" w:hAnsi="Times New Roman" w:cs="Times New Roman"/>
          <w:sz w:val="24"/>
        </w:rPr>
        <w:t>базирано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семејното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забележи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постојано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родовата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почитувањето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тортура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третманот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притворените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004B22F2"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омраза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Истанбулската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Механизмот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w:t>
      </w:r>
      <w:r w:rsidR="00D21AD5" w:rsidRPr="00C9671E">
        <w:rPr>
          <w:rFonts w:ascii="Times New Roman" w:hAnsi="Times New Roman" w:cs="Times New Roman"/>
          <w:sz w:val="24"/>
        </w:rPr>
        <w:t>ворешен</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над</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полицијата</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му</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недостасуваат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претставн</w:t>
      </w:r>
      <w:r w:rsidR="00EB0E56" w:rsidRPr="00C9671E">
        <w:rPr>
          <w:rFonts w:ascii="Times New Roman" w:hAnsi="Times New Roman" w:cs="Times New Roman"/>
          <w:sz w:val="24"/>
        </w:rPr>
        <w:t>ици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организации.</w:t>
      </w:r>
    </w:p>
    <w:p w14:paraId="35600712" w14:textId="38CD5591"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слободата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изразување</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Генерално,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амбиент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поволен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критичко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известување,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дојде</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тензии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саморегулација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резултати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w:t>
      </w:r>
      <w:r w:rsidR="00877DF5" w:rsidRPr="00C9671E">
        <w:rPr>
          <w:rFonts w:ascii="Times New Roman" w:hAnsi="Times New Roman" w:cs="Times New Roman"/>
          <w:sz w:val="24"/>
        </w:rPr>
        <w:t>е</w:t>
      </w:r>
      <w:r w:rsidRPr="00C9671E">
        <w:rPr>
          <w:rFonts w:ascii="Times New Roman" w:hAnsi="Times New Roman" w:cs="Times New Roman"/>
          <w:sz w:val="24"/>
        </w:rPr>
        <w:t>сионалните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новинарството.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00085F81">
        <w:rPr>
          <w:rFonts w:ascii="Times New Roman" w:hAnsi="Times New Roman" w:cs="Times New Roman"/>
          <w:sz w:val="24"/>
        </w:rPr>
        <w:t>рекламирањето</w:t>
      </w:r>
      <w:r w:rsidR="00085F81"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медиумите.</w:t>
      </w:r>
      <w:r w:rsidR="00E003C4" w:rsidRPr="00C9671E">
        <w:rPr>
          <w:rFonts w:ascii="Times New Roman" w:hAnsi="Times New Roman" w:cs="Times New Roman"/>
          <w:sz w:val="24"/>
        </w:rPr>
        <w:t xml:space="preserve"> </w:t>
      </w:r>
      <w:r w:rsidR="007134BE">
        <w:rPr>
          <w:rFonts w:ascii="Times New Roman" w:hAnsi="Times New Roman" w:cs="Times New Roman"/>
          <w:sz w:val="24"/>
        </w:rPr>
        <w:t>Органите</w:t>
      </w:r>
      <w:r w:rsidR="007134BE"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засилат</w:t>
      </w:r>
      <w:r w:rsidR="00E003C4" w:rsidRPr="00C9671E">
        <w:rPr>
          <w:rFonts w:ascii="Times New Roman" w:hAnsi="Times New Roman" w:cs="Times New Roman"/>
          <w:sz w:val="24"/>
        </w:rPr>
        <w:t xml:space="preserve"> </w:t>
      </w:r>
      <w:r w:rsidR="00877DF5" w:rsidRPr="00C9671E">
        <w:rPr>
          <w:rFonts w:ascii="Times New Roman" w:hAnsi="Times New Roman" w:cs="Times New Roman"/>
          <w:sz w:val="24"/>
        </w:rPr>
        <w:t>сво</w:t>
      </w:r>
      <w:r w:rsidRPr="00C9671E">
        <w:rPr>
          <w:rFonts w:ascii="Times New Roman" w:hAnsi="Times New Roman" w:cs="Times New Roman"/>
          <w:sz w:val="24"/>
        </w:rPr>
        <w:t>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радиодифузен</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сервис</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одржливост.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петгодишна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радиодифузен</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сервис</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доцнења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назначувањето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w:t>
      </w:r>
      <w:r w:rsidR="00D21AD5" w:rsidRPr="00C9671E">
        <w:rPr>
          <w:rFonts w:ascii="Times New Roman" w:hAnsi="Times New Roman" w:cs="Times New Roman"/>
          <w:sz w:val="24"/>
        </w:rPr>
        <w:t>грамски</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назначен</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аудио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аудиовизуелни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посвети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внимание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новинарите.</w:t>
      </w:r>
    </w:p>
    <w:p w14:paraId="3FFBFD74"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регионалната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соработка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проширувањето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учество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регионалните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билатерални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Преспанскиот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Грција,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добрососедство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Бугарија,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волја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страни.</w:t>
      </w:r>
    </w:p>
    <w:p w14:paraId="413722A8" w14:textId="544BF34E"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економските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критериуми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пазарна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економија.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закрепна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побрзо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закрепнување.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помош</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C377A7">
        <w:rPr>
          <w:rFonts w:ascii="Times New Roman" w:hAnsi="Times New Roman" w:cs="Times New Roman"/>
          <w:sz w:val="24"/>
        </w:rPr>
        <w:t>зголемените</w:t>
      </w:r>
      <w:r w:rsidR="00C377A7" w:rsidRPr="00C9671E">
        <w:rPr>
          <w:rFonts w:ascii="Times New Roman" w:hAnsi="Times New Roman" w:cs="Times New Roman"/>
          <w:sz w:val="24"/>
        </w:rPr>
        <w:t xml:space="preserve"> </w:t>
      </w:r>
      <w:r w:rsidR="008278F8" w:rsidRPr="00C9671E">
        <w:rPr>
          <w:rFonts w:ascii="Times New Roman" w:hAnsi="Times New Roman" w:cs="Times New Roman"/>
          <w:sz w:val="24"/>
        </w:rPr>
        <w:t>даночни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приходи,</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дефицит</w:t>
      </w:r>
      <w:r w:rsidR="00E003C4" w:rsidRPr="00C9671E">
        <w:rPr>
          <w:rFonts w:ascii="Times New Roman" w:hAnsi="Times New Roman" w:cs="Times New Roman"/>
          <w:sz w:val="24"/>
        </w:rPr>
        <w:t xml:space="preserve"> </w:t>
      </w:r>
      <w:r w:rsidRPr="00C9671E">
        <w:rPr>
          <w:rFonts w:ascii="Times New Roman" w:hAnsi="Times New Roman" w:cs="Times New Roman"/>
          <w:sz w:val="24"/>
        </w:rPr>
        <w:t>падна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5,4</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БДП</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долг</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стабилизираа</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забрзаниот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храната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енергијат</w:t>
      </w:r>
      <w:r w:rsidR="00D51B59"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почетокот</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сет</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негативното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влијание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може</w:t>
      </w:r>
      <w:r w:rsidR="00877DF5" w:rsidRPr="00C9671E">
        <w:rPr>
          <w:rFonts w:ascii="Times New Roman" w:hAnsi="Times New Roman" w:cs="Times New Roman"/>
          <w:sz w:val="24"/>
        </w:rPr>
        <w:t>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насочат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банка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заостри</w:t>
      </w:r>
      <w:r w:rsidR="00E003C4" w:rsidRPr="00C9671E">
        <w:rPr>
          <w:rFonts w:ascii="Times New Roman" w:hAnsi="Times New Roman" w:cs="Times New Roman"/>
          <w:sz w:val="24"/>
        </w:rPr>
        <w:t xml:space="preserve"> </w:t>
      </w:r>
      <w:r w:rsidR="00877DF5" w:rsidRPr="00C9671E">
        <w:rPr>
          <w:rFonts w:ascii="Times New Roman" w:hAnsi="Times New Roman" w:cs="Times New Roman"/>
          <w:sz w:val="24"/>
        </w:rPr>
        <w:t>свој</w:t>
      </w:r>
      <w:r w:rsidRPr="00C9671E">
        <w:rPr>
          <w:rFonts w:ascii="Times New Roman" w:hAnsi="Times New Roman" w:cs="Times New Roman"/>
          <w:sz w:val="24"/>
        </w:rPr>
        <w:t>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поглед</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инфлациски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притисоци.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одржливоста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застој.</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средината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D06635"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003E6263" w:rsidRPr="00C9671E">
        <w:rPr>
          <w:rFonts w:ascii="Times New Roman" w:hAnsi="Times New Roman" w:cs="Times New Roman"/>
          <w:sz w:val="24"/>
        </w:rPr>
        <w:t>Н</w:t>
      </w:r>
      <w:r w:rsidRPr="00C9671E">
        <w:rPr>
          <w:rFonts w:ascii="Times New Roman" w:hAnsi="Times New Roman" w:cs="Times New Roman"/>
          <w:sz w:val="24"/>
        </w:rPr>
        <w:t>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085F81">
        <w:rPr>
          <w:rFonts w:ascii="Times New Roman" w:hAnsi="Times New Roman" w:cs="Times New Roman"/>
          <w:sz w:val="24"/>
        </w:rPr>
        <w:t>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фискален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инвестиции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понатамошно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Банкарскиот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стабилен.</w:t>
      </w:r>
      <w:r w:rsidR="00E003C4" w:rsidRPr="00C9671E">
        <w:rPr>
          <w:rFonts w:ascii="Times New Roman" w:hAnsi="Times New Roman" w:cs="Times New Roman"/>
          <w:sz w:val="24"/>
        </w:rPr>
        <w:t xml:space="preserve"> </w:t>
      </w:r>
      <w:r w:rsidRPr="00C9671E">
        <w:rPr>
          <w:rFonts w:ascii="Times New Roman" w:hAnsi="Times New Roman" w:cs="Times New Roman"/>
          <w:sz w:val="24"/>
        </w:rPr>
        <w:t>Регулаторните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олеснување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задолжување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укинати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Деловното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опкружување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DF1B80">
        <w:rPr>
          <w:rFonts w:ascii="Times New Roman" w:hAnsi="Times New Roman" w:cs="Times New Roman"/>
          <w:sz w:val="24"/>
        </w:rPr>
        <w:t>да</w:t>
      </w:r>
      <w:r w:rsidR="00E003C4" w:rsidRPr="00DF1B80">
        <w:rPr>
          <w:rFonts w:ascii="Times New Roman" w:hAnsi="Times New Roman" w:cs="Times New Roman"/>
          <w:sz w:val="24"/>
        </w:rPr>
        <w:t xml:space="preserve"> </w:t>
      </w:r>
      <w:r w:rsidRPr="00DF1B80">
        <w:rPr>
          <w:rFonts w:ascii="Times New Roman" w:hAnsi="Times New Roman" w:cs="Times New Roman"/>
          <w:sz w:val="24"/>
        </w:rPr>
        <w:t>се</w:t>
      </w:r>
      <w:r w:rsidR="00E003C4" w:rsidRPr="00DF1B80">
        <w:rPr>
          <w:rFonts w:ascii="Times New Roman" w:hAnsi="Times New Roman" w:cs="Times New Roman"/>
          <w:sz w:val="24"/>
        </w:rPr>
        <w:t xml:space="preserve"> </w:t>
      </w:r>
      <w:r w:rsidR="00C377A7" w:rsidRPr="00705B41">
        <w:rPr>
          <w:rFonts w:ascii="Times New Roman" w:hAnsi="Times New Roman" w:cs="Times New Roman"/>
          <w:sz w:val="24"/>
        </w:rPr>
        <w:t>попречува</w:t>
      </w:r>
      <w:r w:rsidR="00C377A7" w:rsidRPr="00DF1B80">
        <w:rPr>
          <w:rFonts w:ascii="Times New Roman" w:hAnsi="Times New Roman" w:cs="Times New Roman"/>
          <w:sz w:val="24"/>
        </w:rPr>
        <w:t xml:space="preserve"> </w:t>
      </w:r>
      <w:r w:rsidRPr="00DF1B80">
        <w:rPr>
          <w:rFonts w:ascii="Times New Roman" w:hAnsi="Times New Roman" w:cs="Times New Roman"/>
          <w:sz w:val="24"/>
        </w:rPr>
        <w:t>пора</w:t>
      </w:r>
      <w:r w:rsidR="00D06635" w:rsidRPr="00DF1B80">
        <w:rPr>
          <w:rFonts w:ascii="Times New Roman" w:hAnsi="Times New Roman" w:cs="Times New Roman"/>
          <w:sz w:val="24"/>
        </w:rPr>
        <w:t>ди</w:t>
      </w:r>
      <w:r w:rsidR="00E003C4" w:rsidRPr="00C9671E">
        <w:rPr>
          <w:rFonts w:ascii="Times New Roman" w:hAnsi="Times New Roman" w:cs="Times New Roman"/>
          <w:sz w:val="24"/>
        </w:rPr>
        <w:t xml:space="preserve"> </w:t>
      </w:r>
      <w:r w:rsidR="00D06635" w:rsidRPr="00C9671E">
        <w:rPr>
          <w:rFonts w:ascii="Times New Roman" w:hAnsi="Times New Roman" w:cs="Times New Roman"/>
          <w:sz w:val="24"/>
        </w:rPr>
        <w:t>високиот</w:t>
      </w:r>
      <w:r w:rsidR="00E003C4" w:rsidRPr="00C9671E">
        <w:rPr>
          <w:rFonts w:ascii="Times New Roman" w:hAnsi="Times New Roman" w:cs="Times New Roman"/>
          <w:sz w:val="24"/>
        </w:rPr>
        <w:t xml:space="preserve"> </w:t>
      </w:r>
      <w:r w:rsidR="00D06635" w:rsidRPr="00C9671E">
        <w:rPr>
          <w:rFonts w:ascii="Times New Roman" w:hAnsi="Times New Roman" w:cs="Times New Roman"/>
          <w:sz w:val="24"/>
        </w:rPr>
        <w:t>удел</w:t>
      </w:r>
      <w:r w:rsidR="00E003C4" w:rsidRPr="00C9671E">
        <w:rPr>
          <w:rFonts w:ascii="Times New Roman" w:hAnsi="Times New Roman" w:cs="Times New Roman"/>
          <w:sz w:val="24"/>
        </w:rPr>
        <w:t xml:space="preserve"> </w:t>
      </w:r>
      <w:r w:rsidR="00D06635"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06635" w:rsidRPr="00C9671E">
        <w:rPr>
          <w:rFonts w:ascii="Times New Roman" w:hAnsi="Times New Roman" w:cs="Times New Roman"/>
          <w:sz w:val="24"/>
        </w:rPr>
        <w:t>неформална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рационализацијата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парафискалните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давачки.</w:t>
      </w:r>
    </w:p>
    <w:p w14:paraId="7B3966DC" w14:textId="082106C9"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конкурентскиот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пазарните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трговијата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инвестициите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синџирот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снабдување,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дома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трговски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партнери.</w:t>
      </w:r>
      <w:r w:rsidR="00E003C4" w:rsidRPr="00C9671E">
        <w:rPr>
          <w:rFonts w:ascii="Times New Roman" w:hAnsi="Times New Roman" w:cs="Times New Roman"/>
          <w:sz w:val="24"/>
        </w:rPr>
        <w:t xml:space="preserve"> </w:t>
      </w:r>
      <w:r w:rsidRPr="00C9671E">
        <w:rPr>
          <w:rFonts w:ascii="Times New Roman" w:hAnsi="Times New Roman" w:cs="Times New Roman"/>
          <w:sz w:val="24"/>
        </w:rPr>
        <w:t>Уделот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производите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извозот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стручното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образование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00085F81" w:rsidRPr="00DF1B80">
        <w:rPr>
          <w:rFonts w:ascii="Times New Roman" w:hAnsi="Times New Roman" w:cs="Times New Roman"/>
          <w:sz w:val="24"/>
        </w:rPr>
        <w:t xml:space="preserve">големиот </w:t>
      </w:r>
      <w:r w:rsidRPr="00DF1B80">
        <w:rPr>
          <w:rFonts w:ascii="Times New Roman" w:hAnsi="Times New Roman" w:cs="Times New Roman"/>
          <w:sz w:val="24"/>
        </w:rPr>
        <w:t>недостиг</w:t>
      </w:r>
      <w:r w:rsidR="00E003C4" w:rsidRPr="00DF1B80">
        <w:rPr>
          <w:rFonts w:ascii="Times New Roman" w:hAnsi="Times New Roman" w:cs="Times New Roman"/>
          <w:sz w:val="24"/>
        </w:rPr>
        <w:t xml:space="preserve"> </w:t>
      </w:r>
      <w:r w:rsidRPr="00DF1B80">
        <w:rPr>
          <w:rFonts w:ascii="Times New Roman" w:hAnsi="Times New Roman" w:cs="Times New Roman"/>
          <w:sz w:val="24"/>
        </w:rPr>
        <w:t>на</w:t>
      </w:r>
      <w:r w:rsidR="00E003C4" w:rsidRPr="00DF1B80">
        <w:rPr>
          <w:rFonts w:ascii="Times New Roman" w:hAnsi="Times New Roman" w:cs="Times New Roman"/>
          <w:sz w:val="24"/>
        </w:rPr>
        <w:t xml:space="preserve"> </w:t>
      </w:r>
      <w:r w:rsidRPr="00DF1B80">
        <w:rPr>
          <w:rFonts w:ascii="Times New Roman" w:hAnsi="Times New Roman" w:cs="Times New Roman"/>
          <w:sz w:val="24"/>
        </w:rPr>
        <w:t>вештини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задоволување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пазарот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труд</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повлекува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долга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транзиција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училиште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јазови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енергетската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инфраструктура,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инвестиции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трошоците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иновации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кочат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потенцијалот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Дигитализацијата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конкурентноста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домашните</w:t>
      </w:r>
      <w:r w:rsidR="00E003C4" w:rsidRPr="00C9671E">
        <w:rPr>
          <w:rFonts w:ascii="Times New Roman" w:hAnsi="Times New Roman" w:cs="Times New Roman"/>
          <w:sz w:val="24"/>
        </w:rPr>
        <w:t xml:space="preserve"> </w:t>
      </w:r>
      <w:r w:rsidR="008E34DE" w:rsidRPr="00C9671E">
        <w:rPr>
          <w:rFonts w:ascii="Times New Roman" w:hAnsi="Times New Roman" w:cs="Times New Roman"/>
          <w:sz w:val="24"/>
        </w:rPr>
        <w:t>деловни</w:t>
      </w:r>
      <w:r w:rsidR="00E003C4" w:rsidRPr="00C9671E">
        <w:rPr>
          <w:rFonts w:ascii="Times New Roman" w:hAnsi="Times New Roman" w:cs="Times New Roman"/>
          <w:sz w:val="24"/>
        </w:rPr>
        <w:t xml:space="preserve"> </w:t>
      </w:r>
      <w:r w:rsidR="008E34DE" w:rsidRPr="00C9671E">
        <w:rPr>
          <w:rFonts w:ascii="Times New Roman" w:hAnsi="Times New Roman" w:cs="Times New Roman"/>
          <w:sz w:val="24"/>
        </w:rPr>
        <w:t>субјекти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поширока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понуда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е-услуги.</w:t>
      </w:r>
    </w:p>
    <w:p w14:paraId="642C1256"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однос</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способноста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преземе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обврските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членство,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Северна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Македонија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умерено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подготвена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повеќето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области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опфатени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b/>
          <w:sz w:val="24"/>
        </w:rPr>
        <w:t>Кластерот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2</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внатрешниот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пазар</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имено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слободното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движење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стоки,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капитал,</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интелектуалната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сопственост,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политиката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конкуренција,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финансиските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заштитата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потрошувачите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здравјето</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трговски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друштва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иако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движење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добар</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движење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капитал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трговски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друштва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конкуренција.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Генерално,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потребен</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кластер,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бидејќи</w:t>
      </w:r>
      <w:r w:rsidR="00E003C4" w:rsidRPr="00C9671E">
        <w:rPr>
          <w:rFonts w:ascii="Times New Roman" w:hAnsi="Times New Roman" w:cs="Times New Roman"/>
          <w:sz w:val="24"/>
        </w:rPr>
        <w:t xml:space="preserve"> </w:t>
      </w:r>
      <w:r w:rsidRPr="00C9671E">
        <w:rPr>
          <w:rFonts w:ascii="Times New Roman" w:hAnsi="Times New Roman" w:cs="Times New Roman"/>
          <w:sz w:val="24"/>
        </w:rPr>
        <w:t>тој</w:t>
      </w:r>
      <w:r w:rsidR="00E003C4" w:rsidRPr="00C9671E">
        <w:rPr>
          <w:rFonts w:ascii="Times New Roman" w:hAnsi="Times New Roman" w:cs="Times New Roman"/>
          <w:sz w:val="24"/>
        </w:rPr>
        <w:t xml:space="preserve"> </w:t>
      </w:r>
      <w:r w:rsidRPr="00C9671E">
        <w:rPr>
          <w:rFonts w:ascii="Times New Roman" w:hAnsi="Times New Roman" w:cs="Times New Roman"/>
          <w:sz w:val="24"/>
        </w:rPr>
        <w:t>ќе</w:t>
      </w:r>
      <w:r w:rsidR="00E003C4" w:rsidRPr="00C9671E">
        <w:rPr>
          <w:rFonts w:ascii="Times New Roman" w:hAnsi="Times New Roman" w:cs="Times New Roman"/>
          <w:sz w:val="24"/>
        </w:rPr>
        <w:t xml:space="preserve"> </w:t>
      </w:r>
      <w:r w:rsidR="00073D0D" w:rsidRPr="00C9671E">
        <w:rPr>
          <w:rFonts w:ascii="Times New Roman" w:hAnsi="Times New Roman" w:cs="Times New Roman"/>
          <w:sz w:val="24"/>
        </w:rPr>
        <w:t>придонесе</w:t>
      </w:r>
      <w:r w:rsidR="00E003C4" w:rsidRPr="00C9671E">
        <w:rPr>
          <w:rFonts w:ascii="Times New Roman" w:hAnsi="Times New Roman" w:cs="Times New Roman"/>
          <w:sz w:val="24"/>
        </w:rPr>
        <w:t xml:space="preserve"> </w:t>
      </w:r>
      <w:r w:rsidR="00073D0D" w:rsidRPr="00C9671E">
        <w:rPr>
          <w:rFonts w:ascii="Times New Roman" w:hAnsi="Times New Roman" w:cs="Times New Roman"/>
          <w:sz w:val="24"/>
        </w:rPr>
        <w:t>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подготовките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исполнување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пазар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кластер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w:t>
      </w:r>
      <w:r w:rsidR="00EB0E56"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Заедничкиот</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регионален</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пазар.</w:t>
      </w:r>
    </w:p>
    <w:p w14:paraId="09C8565F"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Генерално,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b/>
          <w:sz w:val="24"/>
        </w:rPr>
        <w:t>Кластерот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3</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конкурентност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инклузивен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раст</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дигиталната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трансформација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даноците,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претпријатијата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индустриската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образованието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културата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монетарната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науката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царинската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кластер.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добар</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монетарната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686987">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дигитална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трансформација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медиуми</w:t>
      </w:r>
      <w:r w:rsidR="00EB0E56"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образование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култура.</w:t>
      </w:r>
    </w:p>
    <w:p w14:paraId="65A627EB"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однос</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b/>
          <w:color w:val="000000"/>
          <w:sz w:val="24"/>
        </w:rPr>
        <w:t>Кластерот</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4</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за</w:t>
      </w:r>
      <w:r w:rsidR="00E003C4" w:rsidRPr="00C9671E">
        <w:rPr>
          <w:rFonts w:ascii="Times New Roman" w:hAnsi="Times New Roman" w:cs="Times New Roman"/>
          <w:b/>
          <w:color w:val="000000"/>
          <w:sz w:val="24"/>
        </w:rPr>
        <w:t xml:space="preserve"> </w:t>
      </w:r>
      <w:r w:rsidR="005313BA" w:rsidRPr="00C9671E">
        <w:rPr>
          <w:rFonts w:ascii="Times New Roman" w:hAnsi="Times New Roman" w:cs="Times New Roman"/>
          <w:b/>
          <w:color w:val="000000"/>
          <w:sz w:val="24"/>
        </w:rPr>
        <w:t>з</w:t>
      </w:r>
      <w:r w:rsidRPr="00C9671E">
        <w:rPr>
          <w:rFonts w:ascii="Times New Roman" w:hAnsi="Times New Roman" w:cs="Times New Roman"/>
          <w:b/>
          <w:color w:val="000000"/>
          <w:sz w:val="24"/>
        </w:rPr>
        <w:t>елената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агенда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и</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одржливото</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поврзување</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Северна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Македонија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постигна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добро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ниво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подготвеност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трансевропските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мрежи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енерг</w:t>
      </w:r>
      <w:r w:rsidR="00D97752" w:rsidRPr="00C9671E">
        <w:rPr>
          <w:rFonts w:ascii="Times New Roman" w:hAnsi="Times New Roman" w:cs="Times New Roman"/>
          <w:sz w:val="24"/>
        </w:rPr>
        <w:t>етика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животна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климатски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животна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климатски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енерг</w:t>
      </w:r>
      <w:r w:rsidR="0003782E" w:rsidRPr="00C9671E">
        <w:rPr>
          <w:rFonts w:ascii="Times New Roman" w:hAnsi="Times New Roman" w:cs="Times New Roman"/>
          <w:sz w:val="24"/>
        </w:rPr>
        <w:t>етиката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трансевропските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мрежи.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инвестициски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Зелената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агенда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Западен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Балкан.</w:t>
      </w:r>
      <w:bookmarkStart w:id="22" w:name="_Toc9430360"/>
      <w:bookmarkStart w:id="23" w:name="_Toc51252783"/>
    </w:p>
    <w:p w14:paraId="32563F0F"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b/>
          <w:sz w:val="24"/>
        </w:rPr>
        <w:t>Кластерот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5</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ресурси,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земјоделство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кохезија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bookmarkEnd w:id="22"/>
      <w:bookmarkEnd w:id="23"/>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храната,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ветеринарната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фитосанитарната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земјоделството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руралниот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храната,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ветеринарната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фитосанитарната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каде</w:t>
      </w:r>
      <w:r w:rsidR="00E003C4" w:rsidRPr="00C9671E">
        <w:rPr>
          <w:rFonts w:ascii="Times New Roman" w:hAnsi="Times New Roman" w:cs="Times New Roman"/>
          <w:sz w:val="24"/>
        </w:rPr>
        <w:t xml:space="preserve"> </w:t>
      </w:r>
      <w:r w:rsidR="00877DF5"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нема</w:t>
      </w:r>
      <w:r w:rsidR="00E003C4" w:rsidRPr="00C9671E">
        <w:rPr>
          <w:rFonts w:ascii="Times New Roman" w:hAnsi="Times New Roman" w:cs="Times New Roman"/>
          <w:sz w:val="24"/>
        </w:rPr>
        <w:t xml:space="preserve"> </w:t>
      </w:r>
      <w:r w:rsidR="00BC2E67" w:rsidRPr="00C9671E">
        <w:rPr>
          <w:rFonts w:ascii="Times New Roman" w:hAnsi="Times New Roman" w:cs="Times New Roman"/>
          <w:sz w:val="24"/>
        </w:rPr>
        <w:t>постигнато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рибарството,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регионалната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координацијата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структурните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инструменти.</w:t>
      </w:r>
    </w:p>
    <w:p w14:paraId="31BDF060"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Кластерот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6</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надворешни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односи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умерено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надворешна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трговска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Pr="00C9671E">
        <w:rPr>
          <w:rFonts w:ascii="Times New Roman" w:hAnsi="Times New Roman" w:cs="Times New Roman"/>
          <w:sz w:val="24"/>
        </w:rPr>
        <w:t>добар</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усогласување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надворешна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агресијата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Русија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Украина.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Притоа,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покажа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може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доверлив</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партнер.</w:t>
      </w:r>
    </w:p>
    <w:p w14:paraId="5EBB691E" w14:textId="77777777" w:rsidR="004E7661" w:rsidRPr="00C9671E" w:rsidRDefault="00131338" w:rsidP="004E766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транзитни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рути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миграциско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движење.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конструктивна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b/>
          <w:sz w:val="24"/>
        </w:rPr>
        <w:t>мешаните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миграциски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текови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соседните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распоредените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офицери</w:t>
      </w:r>
      <w:r w:rsidR="00E003C4" w:rsidRPr="00C9671E">
        <w:rPr>
          <w:rFonts w:ascii="Times New Roman" w:hAnsi="Times New Roman" w:cs="Times New Roman"/>
          <w:sz w:val="24"/>
        </w:rPr>
        <w:t xml:space="preserve"> </w:t>
      </w:r>
      <w:r w:rsidRPr="00C9671E">
        <w:rPr>
          <w:rFonts w:ascii="Times New Roman" w:hAnsi="Times New Roman" w:cs="Times New Roman"/>
          <w:sz w:val="24"/>
        </w:rPr>
        <w:t>(гости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офицери)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теренот.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живот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мигранти</w:t>
      </w:r>
      <w:r w:rsidR="00E003C4" w:rsidRPr="00C9671E">
        <w:rPr>
          <w:rFonts w:ascii="Times New Roman" w:hAnsi="Times New Roman" w:cs="Times New Roman"/>
          <w:sz w:val="24"/>
        </w:rPr>
        <w:t xml:space="preserve"> </w:t>
      </w:r>
      <w:r w:rsidR="00877DF5"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престојуваат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мигрантите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профилирање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чувствителни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посистематски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начин.</w:t>
      </w:r>
      <w:r w:rsidR="00E003C4" w:rsidRPr="00C9671E">
        <w:rPr>
          <w:rFonts w:ascii="Times New Roman" w:hAnsi="Times New Roman" w:cs="Times New Roman"/>
          <w:sz w:val="24"/>
        </w:rPr>
        <w:t xml:space="preserve"> </w:t>
      </w:r>
      <w:bookmarkStart w:id="24" w:name="_Hlk115421486"/>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август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склучи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статус</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гранична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крајбрежна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стража</w:t>
      </w:r>
      <w:r w:rsidR="00E003C4" w:rsidRPr="00C9671E">
        <w:rPr>
          <w:rFonts w:ascii="Times New Roman" w:hAnsi="Times New Roman" w:cs="Times New Roman"/>
          <w:sz w:val="24"/>
        </w:rPr>
        <w:t xml:space="preserve"> </w:t>
      </w:r>
      <w:r w:rsidRPr="00C9671E">
        <w:rPr>
          <w:rFonts w:ascii="Times New Roman" w:hAnsi="Times New Roman" w:cs="Times New Roman"/>
          <w:sz w:val="24"/>
        </w:rPr>
        <w:t>(Фронтекс)</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дозволува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распоредување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корпуси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гранична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крајбрежна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стража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очекува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потпише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заземе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пометодичен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криумчарењето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мигранти.</w:t>
      </w:r>
    </w:p>
    <w:p w14:paraId="56BC805C" w14:textId="79FDA6BF" w:rsidR="00131338" w:rsidRPr="00C9671E" w:rsidRDefault="00131338" w:rsidP="006E0C51">
      <w:pPr>
        <w:pStyle w:val="Heading1"/>
        <w:spacing w:before="0" w:after="120" w:line="240" w:lineRule="auto"/>
        <w:rPr>
          <w:rFonts w:ascii="Times New Roman" w:hAnsi="Times New Roman" w:cs="Times New Roman"/>
        </w:rPr>
      </w:pPr>
      <w:bookmarkStart w:id="25" w:name="_Toc115619775"/>
      <w:bookmarkStart w:id="26" w:name="_Toc117004146"/>
      <w:bookmarkEnd w:id="24"/>
      <w:r w:rsidRPr="00C9671E">
        <w:rPr>
          <w:rFonts w:ascii="Times New Roman" w:hAnsi="Times New Roman" w:cs="Times New Roman"/>
        </w:rPr>
        <w:lastRenderedPageBreak/>
        <w:t>2.</w:t>
      </w:r>
      <w:r w:rsidRPr="00C9671E">
        <w:rPr>
          <w:rFonts w:ascii="Times New Roman" w:hAnsi="Times New Roman" w:cs="Times New Roman"/>
        </w:rPr>
        <w:tab/>
      </w:r>
      <w:bookmarkEnd w:id="2"/>
      <w:r w:rsidRPr="00C9671E">
        <w:rPr>
          <w:rFonts w:ascii="Times New Roman" w:hAnsi="Times New Roman" w:cs="Times New Roman"/>
        </w:rPr>
        <w:t>Кластер</w:t>
      </w:r>
      <w:r w:rsidR="00E003C4" w:rsidRPr="00C9671E">
        <w:rPr>
          <w:rFonts w:ascii="Times New Roman" w:hAnsi="Times New Roman" w:cs="Times New Roman"/>
        </w:rPr>
        <w:t xml:space="preserve"> </w:t>
      </w:r>
      <w:r w:rsidRPr="00C9671E">
        <w:rPr>
          <w:rFonts w:ascii="Times New Roman" w:hAnsi="Times New Roman" w:cs="Times New Roman"/>
        </w:rPr>
        <w:t>1:</w:t>
      </w:r>
      <w:r w:rsidR="00E003C4" w:rsidRPr="00C9671E">
        <w:rPr>
          <w:rFonts w:ascii="Times New Roman" w:hAnsi="Times New Roman" w:cs="Times New Roman"/>
        </w:rPr>
        <w:t xml:space="preserve"> </w:t>
      </w:r>
      <w:r w:rsidR="00313601">
        <w:rPr>
          <w:rFonts w:ascii="Times New Roman" w:hAnsi="Times New Roman" w:cs="Times New Roman"/>
        </w:rPr>
        <w:t>ФУНДАМЕНТАЛНИ ВРЕДНОСТИ</w:t>
      </w:r>
      <w:r w:rsidR="00313601" w:rsidRPr="00C9671E">
        <w:rPr>
          <w:rFonts w:ascii="Times New Roman" w:hAnsi="Times New Roman" w:cs="Times New Roman"/>
        </w:rPr>
        <w:t xml:space="preserve"> </w:t>
      </w:r>
      <w:r w:rsidRPr="00C9671E">
        <w:rPr>
          <w:rFonts w:ascii="Times New Roman" w:hAnsi="Times New Roman" w:cs="Times New Roman"/>
        </w:rPr>
        <w:t>на</w:t>
      </w:r>
      <w:r w:rsidR="00E003C4" w:rsidRPr="00C9671E">
        <w:rPr>
          <w:rFonts w:ascii="Times New Roman" w:hAnsi="Times New Roman" w:cs="Times New Roman"/>
        </w:rPr>
        <w:t xml:space="preserve"> </w:t>
      </w:r>
      <w:r w:rsidR="00805F4B" w:rsidRPr="00C9671E">
        <w:rPr>
          <w:rFonts w:ascii="Times New Roman" w:hAnsi="Times New Roman" w:cs="Times New Roman"/>
        </w:rPr>
        <w:t>ПРИСТАПНИОТ</w:t>
      </w:r>
      <w:r w:rsidR="00E003C4" w:rsidRPr="00C9671E">
        <w:rPr>
          <w:rFonts w:ascii="Times New Roman" w:hAnsi="Times New Roman" w:cs="Times New Roman"/>
        </w:rPr>
        <w:t xml:space="preserve"> </w:t>
      </w:r>
      <w:r w:rsidR="00805F4B" w:rsidRPr="00C9671E">
        <w:rPr>
          <w:rFonts w:ascii="Times New Roman" w:hAnsi="Times New Roman" w:cs="Times New Roman"/>
        </w:rPr>
        <w:t>процес</w:t>
      </w:r>
      <w:bookmarkEnd w:id="3"/>
      <w:bookmarkEnd w:id="4"/>
      <w:bookmarkEnd w:id="5"/>
      <w:bookmarkEnd w:id="25"/>
      <w:bookmarkEnd w:id="26"/>
    </w:p>
    <w:p w14:paraId="189528CF" w14:textId="77777777" w:rsidR="00131338" w:rsidRPr="00C9671E" w:rsidRDefault="00131338" w:rsidP="006E0C51">
      <w:pPr>
        <w:pStyle w:val="Heading2"/>
        <w:spacing w:before="0"/>
      </w:pPr>
      <w:bookmarkStart w:id="27" w:name="_Toc84329764"/>
      <w:bookmarkStart w:id="28" w:name="_Toc84631566"/>
      <w:bookmarkStart w:id="29" w:name="_Toc115619776"/>
      <w:bookmarkStart w:id="30" w:name="_Toc117004147"/>
      <w:r w:rsidRPr="00C9671E">
        <w:t>2.1.</w:t>
      </w:r>
      <w:r w:rsidRPr="00C9671E">
        <w:tab/>
        <w:t>Функционирање</w:t>
      </w:r>
      <w:r w:rsidR="00E003C4" w:rsidRPr="00C9671E">
        <w:t xml:space="preserve"> </w:t>
      </w:r>
      <w:r w:rsidRPr="00C9671E">
        <w:t>на</w:t>
      </w:r>
      <w:r w:rsidR="00E003C4" w:rsidRPr="00C9671E">
        <w:t xml:space="preserve"> </w:t>
      </w:r>
      <w:r w:rsidRPr="00C9671E">
        <w:t>демократските</w:t>
      </w:r>
      <w:r w:rsidR="00E003C4" w:rsidRPr="00C9671E">
        <w:t xml:space="preserve"> </w:t>
      </w:r>
      <w:r w:rsidRPr="00C9671E">
        <w:t>институции</w:t>
      </w:r>
      <w:r w:rsidR="00E003C4" w:rsidRPr="00C9671E">
        <w:t xml:space="preserve"> </w:t>
      </w:r>
      <w:r w:rsidRPr="00C9671E">
        <w:t>и</w:t>
      </w:r>
      <w:r w:rsidR="00E003C4" w:rsidRPr="00C9671E">
        <w:t xml:space="preserve"> </w:t>
      </w:r>
      <w:r w:rsidRPr="00C9671E">
        <w:t>реформата</w:t>
      </w:r>
      <w:r w:rsidR="00E003C4" w:rsidRPr="00C9671E">
        <w:t xml:space="preserve"> </w:t>
      </w:r>
      <w:r w:rsidRPr="00C9671E">
        <w:t>на</w:t>
      </w:r>
      <w:r w:rsidR="00E003C4" w:rsidRPr="00C9671E">
        <w:t xml:space="preserve"> </w:t>
      </w:r>
      <w:r w:rsidRPr="00C9671E">
        <w:t>јавната</w:t>
      </w:r>
      <w:r w:rsidR="00E003C4" w:rsidRPr="00C9671E">
        <w:t xml:space="preserve"> </w:t>
      </w:r>
      <w:r w:rsidRPr="00C9671E">
        <w:t>администрација</w:t>
      </w:r>
      <w:bookmarkEnd w:id="27"/>
      <w:bookmarkEnd w:id="28"/>
      <w:bookmarkEnd w:id="29"/>
      <w:bookmarkEnd w:id="30"/>
    </w:p>
    <w:p w14:paraId="2D4B4971" w14:textId="77777777" w:rsidR="00131338" w:rsidRPr="00C9671E" w:rsidRDefault="00131338" w:rsidP="006E0C51">
      <w:pPr>
        <w:pStyle w:val="Heading3"/>
        <w:spacing w:before="0"/>
      </w:pPr>
      <w:bookmarkStart w:id="31" w:name="_Toc51252763"/>
      <w:bookmarkStart w:id="32" w:name="_Toc9430340"/>
      <w:bookmarkStart w:id="33" w:name="_Toc84329765"/>
      <w:bookmarkStart w:id="34" w:name="_Toc84631567"/>
      <w:bookmarkStart w:id="35" w:name="_Toc115619777"/>
      <w:bookmarkStart w:id="36" w:name="_Toc117004148"/>
      <w:bookmarkEnd w:id="6"/>
      <w:r w:rsidRPr="00C9671E">
        <w:t>2.1.1.</w:t>
      </w:r>
      <w:r w:rsidRPr="00C9671E">
        <w:tab/>
        <w:t>Демократија</w:t>
      </w:r>
      <w:bookmarkEnd w:id="31"/>
      <w:bookmarkEnd w:id="32"/>
      <w:bookmarkEnd w:id="33"/>
      <w:bookmarkEnd w:id="34"/>
      <w:bookmarkEnd w:id="35"/>
      <w:bookmarkEnd w:id="36"/>
    </w:p>
    <w:p w14:paraId="3C4D4F64" w14:textId="77777777" w:rsidR="00131338" w:rsidRPr="00C9671E" w:rsidRDefault="00DD22BF"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карактеризира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интензивни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почеток</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131338"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Одржувањето</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првата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Меѓувладина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конференција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историски</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момент</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означи</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пристапниот</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процес</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932B90" w:rsidRPr="00C9671E">
        <w:rPr>
          <w:rFonts w:ascii="Times New Roman" w:hAnsi="Times New Roman" w:cs="Times New Roman"/>
          <w:sz w:val="24"/>
        </w:rPr>
        <w:t>Македонија</w:t>
      </w:r>
      <w:r w:rsidR="00131338"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јасно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признание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решеноста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реформите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демократијата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владеењето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одредени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предизвици.</w:t>
      </w:r>
      <w:r w:rsidR="00E003C4" w:rsidRPr="00C9671E">
        <w:rPr>
          <w:rFonts w:ascii="Times New Roman" w:hAnsi="Times New Roman" w:cs="Times New Roman"/>
          <w:sz w:val="24"/>
        </w:rPr>
        <w:t xml:space="preserve"> </w:t>
      </w:r>
    </w:p>
    <w:p w14:paraId="7CEB72E9" w14:textId="77777777" w:rsidR="00131338" w:rsidRPr="00C9671E" w:rsidRDefault="00131338" w:rsidP="006E0C51">
      <w:pPr>
        <w:keepNext/>
        <w:spacing w:after="120" w:line="240" w:lineRule="auto"/>
        <w:jc w:val="both"/>
        <w:rPr>
          <w:rFonts w:ascii="Times New Roman" w:hAnsi="Times New Roman" w:cs="Times New Roman"/>
          <w:b/>
          <w:sz w:val="24"/>
          <w:szCs w:val="24"/>
        </w:rPr>
      </w:pPr>
      <w:r w:rsidRPr="00C9671E">
        <w:rPr>
          <w:rFonts w:ascii="Times New Roman" w:hAnsi="Times New Roman" w:cs="Times New Roman"/>
          <w:b/>
          <w:sz w:val="24"/>
        </w:rPr>
        <w:t>Избори</w:t>
      </w:r>
      <w:r w:rsidR="00E003C4" w:rsidRPr="00C9671E">
        <w:rPr>
          <w:rFonts w:ascii="Times New Roman" w:hAnsi="Times New Roman" w:cs="Times New Roman"/>
          <w:b/>
          <w:sz w:val="24"/>
        </w:rPr>
        <w:t xml:space="preserve"> </w:t>
      </w:r>
    </w:p>
    <w:p w14:paraId="6FA44EB3" w14:textId="7717A1EE" w:rsidR="00131338" w:rsidRPr="00C9671E" w:rsidRDefault="00131338" w:rsidP="006E0C5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bookmarkStart w:id="37" w:name="_Hlk113768433"/>
      <w:r w:rsidRPr="00C9671E">
        <w:rPr>
          <w:rFonts w:ascii="Times New Roman" w:hAnsi="Times New Roman" w:cs="Times New Roman"/>
          <w:sz w:val="24"/>
        </w:rPr>
        <w:t>Генерално,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686987">
        <w:rPr>
          <w:rFonts w:ascii="Times New Roman" w:hAnsi="Times New Roman" w:cs="Times New Roman"/>
          <w:sz w:val="24"/>
        </w:rPr>
        <w:t>надминувањето</w:t>
      </w:r>
      <w:r w:rsidR="00686987"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неспроведените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ОБСЕ/ОДИХР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Венецијанската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споменато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сеопфатно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4D314C">
        <w:rPr>
          <w:rFonts w:ascii="Times New Roman" w:hAnsi="Times New Roman" w:cs="Times New Roman"/>
          <w:sz w:val="24"/>
        </w:rPr>
        <w:t>прегледа</w:t>
      </w:r>
      <w:r w:rsidR="00686987"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надминат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недоследности,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w:t>
      </w:r>
      <w:r w:rsidR="00E003C4" w:rsidRPr="00C9671E">
        <w:rPr>
          <w:rFonts w:ascii="Times New Roman" w:hAnsi="Times New Roman" w:cs="Times New Roman"/>
          <w:sz w:val="24"/>
        </w:rPr>
        <w:t xml:space="preserve"> </w:t>
      </w:r>
      <w:r w:rsidR="00496A5F"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00496A5F"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00496A5F" w:rsidRPr="00C9671E">
        <w:rPr>
          <w:rFonts w:ascii="Times New Roman" w:hAnsi="Times New Roman" w:cs="Times New Roman"/>
          <w:sz w:val="24"/>
        </w:rPr>
        <w:t>следните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bookmarkStart w:id="38" w:name="_Hlk113737419"/>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поглед,</w:t>
      </w:r>
      <w:r w:rsidR="00E003C4" w:rsidRPr="00C9671E">
        <w:rPr>
          <w:rFonts w:ascii="Times New Roman" w:hAnsi="Times New Roman" w:cs="Times New Roman"/>
          <w:sz w:val="24"/>
        </w:rPr>
        <w:t xml:space="preserve"> </w:t>
      </w:r>
      <w:r w:rsidR="004D314C">
        <w:rPr>
          <w:rFonts w:ascii="Times New Roman" w:hAnsi="Times New Roman" w:cs="Times New Roman"/>
          <w:sz w:val="24"/>
        </w:rPr>
        <w:t>органите</w:t>
      </w:r>
      <w:r w:rsidR="00686987"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засилат</w:t>
      </w:r>
      <w:r w:rsidR="00E003C4" w:rsidRPr="00C9671E">
        <w:rPr>
          <w:rFonts w:ascii="Times New Roman" w:hAnsi="Times New Roman" w:cs="Times New Roman"/>
          <w:sz w:val="24"/>
        </w:rPr>
        <w:t xml:space="preserve"> </w:t>
      </w:r>
      <w:r w:rsidR="00877DF5" w:rsidRPr="00C9671E">
        <w:rPr>
          <w:rFonts w:ascii="Times New Roman" w:hAnsi="Times New Roman" w:cs="Times New Roman"/>
          <w:sz w:val="24"/>
        </w:rPr>
        <w:t>сво</w:t>
      </w:r>
      <w:r w:rsidRPr="00C9671E">
        <w:rPr>
          <w:rFonts w:ascii="Times New Roman" w:hAnsi="Times New Roman" w:cs="Times New Roman"/>
          <w:sz w:val="24"/>
        </w:rPr>
        <w:t>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покажат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волја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понатамошно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w:t>
      </w:r>
      <w:bookmarkEnd w:id="38"/>
    </w:p>
    <w:bookmarkEnd w:id="37"/>
    <w:p w14:paraId="0D6C2530"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Локалните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одржаа</w:t>
      </w:r>
      <w:r w:rsidR="00E003C4" w:rsidRPr="00C9671E">
        <w:rPr>
          <w:rFonts w:ascii="Times New Roman" w:hAnsi="Times New Roman" w:cs="Times New Roman"/>
          <w:sz w:val="24"/>
        </w:rPr>
        <w:t xml:space="preserve"> </w:t>
      </w:r>
      <w:r w:rsidR="000B1065"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17</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31</w:t>
      </w:r>
      <w:r w:rsidR="00E003C4" w:rsidRPr="00C9671E">
        <w:rPr>
          <w:rFonts w:ascii="Times New Roman" w:hAnsi="Times New Roman" w:cs="Times New Roman"/>
          <w:sz w:val="24"/>
        </w:rPr>
        <w:t xml:space="preserve"> </w:t>
      </w:r>
      <w:r w:rsidRPr="00C9671E">
        <w:rPr>
          <w:rFonts w:ascii="Times New Roman" w:hAnsi="Times New Roman" w:cs="Times New Roman"/>
          <w:sz w:val="24"/>
        </w:rPr>
        <w:t>октомври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Генерално,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ВМРО-ДПМНЕ</w:t>
      </w:r>
      <w:r w:rsidRPr="00C9671E">
        <w:rPr>
          <w:rFonts w:ascii="Times New Roman" w:hAnsi="Times New Roman" w:cs="Times New Roman"/>
          <w:sz w:val="24"/>
          <w:vertAlign w:val="superscript"/>
        </w:rPr>
        <w:footnoteReference w:id="3"/>
      </w:r>
      <w:r w:rsidR="00E003C4" w:rsidRPr="00C9671E">
        <w:rPr>
          <w:rFonts w:ascii="Times New Roman" w:hAnsi="Times New Roman" w:cs="Times New Roman"/>
          <w:sz w:val="24"/>
        </w:rPr>
        <w:t xml:space="preserve"> </w:t>
      </w:r>
      <w:r w:rsidRPr="00C9671E">
        <w:rPr>
          <w:rFonts w:ascii="Times New Roman" w:hAnsi="Times New Roman" w:cs="Times New Roman"/>
          <w:sz w:val="24"/>
        </w:rPr>
        <w:t>освои</w:t>
      </w:r>
      <w:r w:rsidR="00E003C4" w:rsidRPr="00C9671E">
        <w:rPr>
          <w:rFonts w:ascii="Times New Roman" w:hAnsi="Times New Roman" w:cs="Times New Roman"/>
          <w:sz w:val="24"/>
        </w:rPr>
        <w:t xml:space="preserve"> </w:t>
      </w:r>
      <w:r w:rsidRPr="00C9671E">
        <w:rPr>
          <w:rFonts w:ascii="Times New Roman" w:hAnsi="Times New Roman" w:cs="Times New Roman"/>
          <w:sz w:val="24"/>
        </w:rPr>
        <w:t>42</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градоначалнички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(наспроти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2017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СДСМ</w:t>
      </w:r>
      <w:r w:rsidRPr="00C9671E">
        <w:rPr>
          <w:rFonts w:ascii="Times New Roman" w:hAnsi="Times New Roman" w:cs="Times New Roman"/>
          <w:sz w:val="24"/>
          <w:vertAlign w:val="superscript"/>
        </w:rPr>
        <w:footnoteReference w:id="4"/>
      </w:r>
      <w:r w:rsidR="00E003C4" w:rsidRPr="00C9671E">
        <w:rPr>
          <w:rFonts w:ascii="Times New Roman" w:hAnsi="Times New Roman" w:cs="Times New Roman"/>
          <w:sz w:val="24"/>
        </w:rPr>
        <w:t xml:space="preserve"> </w:t>
      </w:r>
      <w:r w:rsidRPr="00C9671E">
        <w:rPr>
          <w:rFonts w:ascii="Times New Roman" w:hAnsi="Times New Roman" w:cs="Times New Roman"/>
          <w:sz w:val="24"/>
        </w:rPr>
        <w:t>освои</w:t>
      </w:r>
      <w:r w:rsidR="00E003C4" w:rsidRPr="00C9671E">
        <w:rPr>
          <w:rFonts w:ascii="Times New Roman" w:hAnsi="Times New Roman" w:cs="Times New Roman"/>
          <w:sz w:val="24"/>
        </w:rPr>
        <w:t xml:space="preserve"> </w:t>
      </w:r>
      <w:r w:rsidRPr="00C9671E">
        <w:rPr>
          <w:rFonts w:ascii="Times New Roman" w:hAnsi="Times New Roman" w:cs="Times New Roman"/>
          <w:sz w:val="24"/>
        </w:rPr>
        <w:t>16</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(наспроти</w:t>
      </w:r>
      <w:r w:rsidR="00E003C4" w:rsidRPr="00C9671E">
        <w:rPr>
          <w:rFonts w:ascii="Times New Roman" w:hAnsi="Times New Roman" w:cs="Times New Roman"/>
          <w:sz w:val="24"/>
        </w:rPr>
        <w:t xml:space="preserve"> </w:t>
      </w:r>
      <w:r w:rsidRPr="00C9671E">
        <w:rPr>
          <w:rFonts w:ascii="Times New Roman" w:hAnsi="Times New Roman" w:cs="Times New Roman"/>
          <w:sz w:val="24"/>
        </w:rPr>
        <w:t>57</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2017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етничките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Албанци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задржаа</w:t>
      </w:r>
      <w:r w:rsidR="00E003C4" w:rsidRPr="00C9671E">
        <w:rPr>
          <w:rFonts w:ascii="Times New Roman" w:hAnsi="Times New Roman" w:cs="Times New Roman"/>
          <w:sz w:val="24"/>
        </w:rPr>
        <w:t xml:space="preserve"> </w:t>
      </w:r>
      <w:r w:rsidR="000B1065" w:rsidRPr="00C9671E">
        <w:rPr>
          <w:rFonts w:ascii="Times New Roman" w:hAnsi="Times New Roman" w:cs="Times New Roman"/>
          <w:sz w:val="24"/>
        </w:rPr>
        <w:t>освоените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2017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D83430" w:rsidRPr="00C9671E">
        <w:rPr>
          <w:rFonts w:ascii="Times New Roman" w:hAnsi="Times New Roman" w:cs="Times New Roman"/>
          <w:sz w:val="24"/>
        </w:rPr>
        <w:t>градоначалници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преземат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чекори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поттикнување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учеството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w:t>
      </w:r>
    </w:p>
    <w:p w14:paraId="08DB552B"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b/>
          <w:sz w:val="24"/>
        </w:rPr>
        <w:t>конечниот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извештај</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ОБСЕ/ОДИХР</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конкурентни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фундаменталните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слободи</w:t>
      </w:r>
      <w:r w:rsidR="00E003C4" w:rsidRPr="00C9671E">
        <w:rPr>
          <w:rFonts w:ascii="Times New Roman" w:hAnsi="Times New Roman" w:cs="Times New Roman"/>
          <w:sz w:val="24"/>
        </w:rPr>
        <w:t xml:space="preserve"> </w:t>
      </w:r>
      <w:r w:rsidRPr="00C9671E">
        <w:rPr>
          <w:rFonts w:ascii="Times New Roman" w:hAnsi="Times New Roman" w:cs="Times New Roman"/>
          <w:sz w:val="24"/>
        </w:rPr>
        <w:t>широко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почитуваа.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постојат</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многу</w:t>
      </w:r>
      <w:r w:rsidRPr="00C9671E">
        <w:rPr>
          <w:rFonts w:ascii="Times New Roman" w:hAnsi="Times New Roman" w:cs="Times New Roman"/>
          <w:sz w:val="24"/>
        </w:rPr>
        <w:t>бројни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јазови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недоследности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Зачестените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неусогласени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законик</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избрзан</w:t>
      </w:r>
      <w:r w:rsidR="00E003C4" w:rsidRPr="00C9671E">
        <w:rPr>
          <w:rFonts w:ascii="Times New Roman" w:hAnsi="Times New Roman" w:cs="Times New Roman"/>
          <w:sz w:val="24"/>
        </w:rPr>
        <w:t xml:space="preserve"> </w:t>
      </w:r>
      <w:r w:rsidRPr="00C9671E">
        <w:rPr>
          <w:rFonts w:ascii="Times New Roman" w:hAnsi="Times New Roman" w:cs="Times New Roman"/>
          <w:sz w:val="24"/>
        </w:rPr>
        <w:t>начин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непосредно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меѓународните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Кандидатите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водеа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кампањите,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забележана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негативна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реторика,</w:t>
      </w:r>
      <w:r w:rsidR="00E003C4" w:rsidRPr="00C9671E">
        <w:rPr>
          <w:rFonts w:ascii="Times New Roman" w:hAnsi="Times New Roman" w:cs="Times New Roman"/>
          <w:sz w:val="24"/>
        </w:rPr>
        <w:t xml:space="preserve"> </w:t>
      </w:r>
      <w:r w:rsidRPr="00C9671E">
        <w:rPr>
          <w:rFonts w:ascii="Times New Roman" w:hAnsi="Times New Roman" w:cs="Times New Roman"/>
          <w:sz w:val="24"/>
        </w:rPr>
        <w:t>честопати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насочувана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гласање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генерално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почитуваа,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идентификувани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чести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проблеми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биометриските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уреди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идентификација.</w:t>
      </w:r>
    </w:p>
    <w:p w14:paraId="615F04F9"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сеопфатна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изборното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неспроведени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ОБСЕ/ОДИХР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широк</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консултативен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w:t>
      </w:r>
      <w:r w:rsidR="00E003C4" w:rsidRPr="00C9671E">
        <w:rPr>
          <w:rFonts w:ascii="Times New Roman" w:hAnsi="Times New Roman" w:cs="Times New Roman"/>
          <w:sz w:val="24"/>
        </w:rPr>
        <w:t xml:space="preserve"> </w:t>
      </w:r>
      <w:r w:rsidRPr="00C9671E">
        <w:rPr>
          <w:rFonts w:ascii="Times New Roman" w:hAnsi="Times New Roman" w:cs="Times New Roman"/>
          <w:sz w:val="24"/>
        </w:rPr>
        <w:t>навремено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Точноста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избирачкиот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список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систематско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ажурирање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податоците.</w:t>
      </w:r>
    </w:p>
    <w:p w14:paraId="154EA0B2"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круга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b/>
          <w:sz w:val="24"/>
        </w:rPr>
        <w:t>Државната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изборна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комисија</w:t>
      </w:r>
      <w:r w:rsidR="00E003C4" w:rsidRPr="00C9671E">
        <w:rPr>
          <w:rFonts w:ascii="Times New Roman" w:hAnsi="Times New Roman" w:cs="Times New Roman"/>
          <w:b/>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испочитува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рокови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кратката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C6674A" w:rsidRPr="00C9671E">
        <w:rPr>
          <w:rFonts w:ascii="Times New Roman" w:hAnsi="Times New Roman" w:cs="Times New Roman"/>
          <w:sz w:val="24"/>
        </w:rPr>
        <w:t>способ</w:t>
      </w:r>
      <w:r w:rsidRPr="00C9671E">
        <w:rPr>
          <w:rFonts w:ascii="Times New Roman" w:hAnsi="Times New Roman" w:cs="Times New Roman"/>
          <w:sz w:val="24"/>
        </w:rPr>
        <w:t>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законик</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изборна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својот</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мандат.</w:t>
      </w:r>
    </w:p>
    <w:p w14:paraId="04779726" w14:textId="77777777" w:rsidR="00131338" w:rsidRPr="00C9671E" w:rsidRDefault="00EB0E56" w:rsidP="006E0C51">
      <w:pPr>
        <w:keepNext/>
        <w:autoSpaceDE w:val="0"/>
        <w:autoSpaceDN w:val="0"/>
        <w:adjustRightInd w:val="0"/>
        <w:spacing w:after="120" w:line="240" w:lineRule="auto"/>
        <w:jc w:val="both"/>
        <w:rPr>
          <w:rFonts w:ascii="Times New Roman" w:hAnsi="Times New Roman" w:cs="Times New Roman"/>
          <w:iCs/>
          <w:sz w:val="24"/>
          <w:szCs w:val="24"/>
        </w:rPr>
      </w:pPr>
      <w:bookmarkStart w:id="39" w:name="_Hlk115272908"/>
      <w:r w:rsidRPr="00C9671E">
        <w:rPr>
          <w:rFonts w:ascii="Times New Roman" w:hAnsi="Times New Roman" w:cs="Times New Roman"/>
          <w:b/>
          <w:sz w:val="24"/>
        </w:rPr>
        <w:t>Собрание</w:t>
      </w:r>
    </w:p>
    <w:p w14:paraId="7AEE2F0B" w14:textId="77777777" w:rsidR="00131338" w:rsidRPr="00C9671E" w:rsidRDefault="00131338" w:rsidP="006E0C5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нарушена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поларизација,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интензивните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дебати,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заклучоци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предлогот,</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позитивна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брзи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форум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конструктивен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дијалог,</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консултации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ограничи</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скратени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w:t>
      </w:r>
      <w:r w:rsidR="00E003C4" w:rsidRPr="00C9671E">
        <w:rPr>
          <w:rFonts w:ascii="Times New Roman" w:hAnsi="Times New Roman" w:cs="Times New Roman"/>
          <w:sz w:val="24"/>
        </w:rPr>
        <w:t xml:space="preserve"> </w:t>
      </w:r>
      <w:r w:rsidR="000B1065"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контрола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разгледување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поредовна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предлозите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круг</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„Дијалогот</w:t>
      </w:r>
      <w:r w:rsidR="00E003C4" w:rsidRPr="00C9671E">
        <w:rPr>
          <w:rFonts w:ascii="Times New Roman" w:hAnsi="Times New Roman" w:cs="Times New Roman"/>
          <w:sz w:val="24"/>
        </w:rPr>
        <w:t xml:space="preserve"> </w:t>
      </w:r>
      <w:r w:rsidRPr="00C9671E">
        <w:rPr>
          <w:rFonts w:ascii="Times New Roman" w:hAnsi="Times New Roman" w:cs="Times New Roman"/>
          <w:sz w:val="24"/>
        </w:rPr>
        <w:t>Жан</w:t>
      </w:r>
      <w:r w:rsidR="00E003C4" w:rsidRPr="00C9671E">
        <w:rPr>
          <w:rFonts w:ascii="Times New Roman" w:hAnsi="Times New Roman" w:cs="Times New Roman"/>
          <w:sz w:val="24"/>
        </w:rPr>
        <w:t xml:space="preserve"> </w:t>
      </w:r>
      <w:r w:rsidRPr="00C9671E">
        <w:rPr>
          <w:rFonts w:ascii="Times New Roman" w:hAnsi="Times New Roman" w:cs="Times New Roman"/>
          <w:sz w:val="24"/>
        </w:rPr>
        <w:t>Моне“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понатамошно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одложување.</w:t>
      </w:r>
      <w:r w:rsidR="00E003C4" w:rsidRPr="00C9671E">
        <w:rPr>
          <w:rFonts w:ascii="Times New Roman" w:hAnsi="Times New Roman" w:cs="Times New Roman"/>
          <w:sz w:val="24"/>
        </w:rPr>
        <w:t xml:space="preserve"> </w:t>
      </w:r>
      <w:bookmarkStart w:id="40" w:name="_Hlk113721055"/>
      <w:r w:rsidRPr="00C9671E">
        <w:rPr>
          <w:rFonts w:ascii="Times New Roman" w:hAnsi="Times New Roman" w:cs="Times New Roman"/>
          <w:sz w:val="24"/>
        </w:rPr>
        <w:t>Кривичната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нападот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27</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2017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w:t>
      </w:r>
      <w:r w:rsidR="00E003C4" w:rsidRPr="00C9671E">
        <w:rPr>
          <w:rFonts w:ascii="Times New Roman" w:hAnsi="Times New Roman" w:cs="Times New Roman"/>
          <w:sz w:val="24"/>
        </w:rPr>
        <w:t xml:space="preserve"> </w:t>
      </w:r>
      <w:bookmarkEnd w:id="40"/>
      <w:r w:rsidRPr="00C9671E">
        <w:rPr>
          <w:rFonts w:ascii="Times New Roman" w:hAnsi="Times New Roman" w:cs="Times New Roman"/>
          <w:sz w:val="24"/>
        </w:rPr>
        <w:t>Некои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презедоа</w:t>
      </w:r>
      <w:r w:rsidR="00E003C4" w:rsidRPr="00C9671E">
        <w:rPr>
          <w:rFonts w:ascii="Times New Roman" w:hAnsi="Times New Roman" w:cs="Times New Roman"/>
          <w:sz w:val="24"/>
        </w:rPr>
        <w:t xml:space="preserve"> </w:t>
      </w:r>
      <w:r w:rsidRPr="00C9671E">
        <w:rPr>
          <w:rFonts w:ascii="Times New Roman" w:hAnsi="Times New Roman" w:cs="Times New Roman"/>
          <w:sz w:val="24"/>
        </w:rPr>
        <w:t>чекори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свој</w:t>
      </w:r>
      <w:r w:rsidRPr="00C9671E">
        <w:rPr>
          <w:rFonts w:ascii="Times New Roman" w:hAnsi="Times New Roman" w:cs="Times New Roman"/>
          <w:sz w:val="24"/>
        </w:rPr>
        <w:t>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p>
    <w:p w14:paraId="1E8FB993" w14:textId="77777777" w:rsidR="00131338" w:rsidRPr="00C9671E" w:rsidRDefault="00131338" w:rsidP="006E0C51">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замената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пратениците</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станаа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градоначалници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w:t>
      </w:r>
      <w:r w:rsidR="00D51B59" w:rsidRPr="00C9671E">
        <w:rPr>
          <w:rFonts w:ascii="Times New Roman" w:hAnsi="Times New Roman" w:cs="Times New Roman"/>
          <w:sz w:val="24"/>
        </w:rPr>
        <w:t>инистри</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реструкту</w:t>
      </w:r>
      <w:r w:rsidR="00C6674A" w:rsidRPr="00C9671E">
        <w:rPr>
          <w:rFonts w:ascii="Times New Roman" w:hAnsi="Times New Roman" w:cs="Times New Roman"/>
          <w:sz w:val="24"/>
        </w:rPr>
        <w:t>р</w:t>
      </w:r>
      <w:r w:rsidR="00D51B59" w:rsidRPr="00C9671E">
        <w:rPr>
          <w:rFonts w:ascii="Times New Roman" w:hAnsi="Times New Roman" w:cs="Times New Roman"/>
          <w:sz w:val="24"/>
        </w:rPr>
        <w:t>ирањето</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јануари</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жени</w:t>
      </w:r>
      <w:r w:rsidR="00E003C4" w:rsidRPr="00C9671E">
        <w:rPr>
          <w:rFonts w:ascii="Times New Roman" w:hAnsi="Times New Roman" w:cs="Times New Roman"/>
          <w:sz w:val="24"/>
        </w:rPr>
        <w:t xml:space="preserve"> </w:t>
      </w:r>
      <w:r w:rsidR="007F442F" w:rsidRPr="00C9671E">
        <w:rPr>
          <w:rFonts w:ascii="Times New Roman" w:hAnsi="Times New Roman" w:cs="Times New Roman"/>
          <w:sz w:val="24"/>
        </w:rPr>
        <w:t>пратеници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(50</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120,</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42</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највисок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досега.</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немнозинските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непроменет</w:t>
      </w:r>
      <w:r w:rsidR="00E003C4" w:rsidRPr="00C9671E">
        <w:rPr>
          <w:rFonts w:ascii="Times New Roman" w:hAnsi="Times New Roman" w:cs="Times New Roman"/>
          <w:sz w:val="24"/>
        </w:rPr>
        <w:t xml:space="preserve"> </w:t>
      </w:r>
      <w:r w:rsidRPr="00C9671E">
        <w:rPr>
          <w:rFonts w:ascii="Times New Roman" w:hAnsi="Times New Roman" w:cs="Times New Roman"/>
          <w:sz w:val="24"/>
        </w:rPr>
        <w:t>(42</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120,</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35</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Алтернатива</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приклучи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владејачката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коалиција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јануари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БЕСА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премина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i/>
          <w:sz w:val="24"/>
        </w:rPr>
        <w:t>види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Управување.</w:t>
      </w:r>
    </w:p>
    <w:p w14:paraId="0ACF0A8E" w14:textId="7F6F184E"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тешки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686987">
        <w:rPr>
          <w:rFonts w:ascii="Times New Roman" w:hAnsi="Times New Roman" w:cs="Times New Roman"/>
          <w:sz w:val="24"/>
        </w:rPr>
        <w:t>напнати</w:t>
      </w:r>
      <w:r w:rsidR="00686987" w:rsidRPr="00C9671E">
        <w:rPr>
          <w:rFonts w:ascii="Times New Roman" w:hAnsi="Times New Roman" w:cs="Times New Roman"/>
          <w:sz w:val="24"/>
        </w:rPr>
        <w:t xml:space="preserve"> </w:t>
      </w:r>
      <w:r w:rsidRPr="00C9671E">
        <w:rPr>
          <w:rFonts w:ascii="Times New Roman" w:hAnsi="Times New Roman" w:cs="Times New Roman"/>
          <w:sz w:val="24"/>
        </w:rPr>
        <w:t>дебати,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предлогот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00686987">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преговара,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поглед,</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процесот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пристапни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преговори</w:t>
      </w:r>
      <w:r w:rsidR="00E003C4" w:rsidRPr="00C9671E">
        <w:rPr>
          <w:rFonts w:ascii="Times New Roman" w:hAnsi="Times New Roman" w:cs="Times New Roman"/>
          <w:b/>
          <w:sz w:val="24"/>
        </w:rPr>
        <w:t xml:space="preserve"> </w:t>
      </w:r>
      <w:r w:rsidR="00686987">
        <w:rPr>
          <w:rFonts w:ascii="Times New Roman" w:hAnsi="Times New Roman" w:cs="Times New Roman"/>
          <w:b/>
          <w:sz w:val="24"/>
        </w:rPr>
        <w:t>со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ЕУ</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Владејачката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коалиција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конструктивно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фокусираат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конкретни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чекори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преговарачкиот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унапредување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главен</w:t>
      </w:r>
      <w:r w:rsidR="00E003C4" w:rsidRPr="00C9671E">
        <w:rPr>
          <w:rFonts w:ascii="Times New Roman" w:hAnsi="Times New Roman" w:cs="Times New Roman"/>
          <w:sz w:val="24"/>
        </w:rPr>
        <w:t xml:space="preserve"> </w:t>
      </w:r>
      <w:r w:rsidRPr="00C9671E">
        <w:rPr>
          <w:rFonts w:ascii="Times New Roman" w:hAnsi="Times New Roman" w:cs="Times New Roman"/>
          <w:sz w:val="24"/>
        </w:rPr>
        <w:t>форум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политички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дијалог</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Декларација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напади</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загрозуваат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територијалниот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суверенитет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Украина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меѓупартиски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консензус.</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поддржа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сет</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евроинтеграции,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предводен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опозицијата,</w:t>
      </w:r>
      <w:r w:rsidR="00E003C4" w:rsidRPr="00C9671E">
        <w:rPr>
          <w:rFonts w:ascii="Times New Roman" w:hAnsi="Times New Roman" w:cs="Times New Roman"/>
          <w:sz w:val="24"/>
        </w:rPr>
        <w:t xml:space="preserve"> </w:t>
      </w:r>
      <w:r w:rsidR="00686987">
        <w:rPr>
          <w:rFonts w:ascii="Times New Roman" w:hAnsi="Times New Roman" w:cs="Times New Roman"/>
          <w:sz w:val="24"/>
        </w:rPr>
        <w:t xml:space="preserve">има надлежност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широк</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консензус</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w:t>
      </w:r>
      <w:r w:rsidR="00EB0E56" w:rsidRPr="00C9671E">
        <w:rPr>
          <w:rFonts w:ascii="Times New Roman" w:hAnsi="Times New Roman" w:cs="Times New Roman"/>
          <w:sz w:val="24"/>
        </w:rPr>
        <w:t>јниот</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00D162C8" w:rsidRPr="00C9671E">
        <w:rPr>
          <w:rFonts w:ascii="Times New Roman" w:hAnsi="Times New Roman" w:cs="Times New Roman"/>
          <w:sz w:val="24"/>
        </w:rPr>
        <w:t>тој</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одржа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седници.</w:t>
      </w:r>
    </w:p>
    <w:p w14:paraId="43D4AE5F" w14:textId="55644980" w:rsidR="00131338" w:rsidRPr="00C9671E" w:rsidRDefault="00131338" w:rsidP="006E0C51">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нарушена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поларизација</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по</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владејачките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4D314C">
        <w:rPr>
          <w:rFonts w:ascii="Times New Roman" w:hAnsi="Times New Roman" w:cs="Times New Roman"/>
          <w:sz w:val="24"/>
        </w:rPr>
        <w:t>ескалираше</w:t>
      </w:r>
      <w:r w:rsidR="004D314C" w:rsidRPr="00DF1B80">
        <w:rPr>
          <w:rFonts w:ascii="Times New Roman" w:hAnsi="Times New Roman" w:cs="Times New Roman"/>
          <w:sz w:val="24"/>
        </w:rPr>
        <w:t xml:space="preserve"> </w:t>
      </w:r>
      <w:r w:rsidRPr="00DF1B80">
        <w:rPr>
          <w:rFonts w:ascii="Times New Roman" w:hAnsi="Times New Roman" w:cs="Times New Roman"/>
          <w:sz w:val="24"/>
        </w:rPr>
        <w:t>во</w:t>
      </w:r>
      <w:r w:rsidR="00E003C4" w:rsidRPr="00DF1B80">
        <w:rPr>
          <w:rFonts w:ascii="Times New Roman" w:hAnsi="Times New Roman" w:cs="Times New Roman"/>
          <w:sz w:val="24"/>
        </w:rPr>
        <w:t xml:space="preserve"> </w:t>
      </w:r>
      <w:r w:rsidRPr="00DF1B80">
        <w:rPr>
          <w:rFonts w:ascii="Times New Roman" w:hAnsi="Times New Roman" w:cs="Times New Roman"/>
          <w:sz w:val="24"/>
        </w:rPr>
        <w:t>прекини</w:t>
      </w:r>
      <w:r w:rsidR="00E003C4" w:rsidRPr="00DF1B80">
        <w:rPr>
          <w:rFonts w:ascii="Times New Roman" w:hAnsi="Times New Roman" w:cs="Times New Roman"/>
          <w:sz w:val="24"/>
        </w:rPr>
        <w:t xml:space="preserve"> </w:t>
      </w:r>
      <w:r w:rsidRPr="00DF1B80">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обиди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физичка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пресметка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прилики.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мај</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ВМРО-ДПМНЕ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блокада“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референдум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ратификација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добрососедство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Бугарија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Спикерот</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отфрли</w:t>
      </w:r>
      <w:r w:rsidR="00E003C4" w:rsidRPr="00C9671E">
        <w:rPr>
          <w:rFonts w:ascii="Times New Roman" w:hAnsi="Times New Roman" w:cs="Times New Roman"/>
          <w:sz w:val="24"/>
        </w:rPr>
        <w:t xml:space="preserve"> </w:t>
      </w:r>
      <w:r w:rsidRPr="00C9671E">
        <w:rPr>
          <w:rFonts w:ascii="Times New Roman" w:hAnsi="Times New Roman" w:cs="Times New Roman"/>
          <w:sz w:val="24"/>
        </w:rPr>
        <w:t>оваа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Контроверзи</w:t>
      </w:r>
      <w:r w:rsidR="00C6674A" w:rsidRPr="00C9671E">
        <w:rPr>
          <w:rFonts w:ascii="Times New Roman" w:hAnsi="Times New Roman" w:cs="Times New Roman"/>
          <w:sz w:val="24"/>
        </w:rPr>
        <w:t>и</w:t>
      </w:r>
      <w:r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околу</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составот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таа</w:t>
      </w:r>
      <w:r w:rsidR="00E003C4" w:rsidRPr="00C9671E">
        <w:rPr>
          <w:rFonts w:ascii="Times New Roman" w:hAnsi="Times New Roman" w:cs="Times New Roman"/>
          <w:sz w:val="24"/>
        </w:rPr>
        <w:t xml:space="preserve"> </w:t>
      </w:r>
      <w:r w:rsidR="00C6674A" w:rsidRPr="00C9671E">
        <w:rPr>
          <w:rFonts w:ascii="Times New Roman" w:hAnsi="Times New Roman" w:cs="Times New Roman"/>
          <w:sz w:val="24"/>
        </w:rPr>
        <w:t>К</w:t>
      </w:r>
      <w:r w:rsidRPr="00C9671E">
        <w:rPr>
          <w:rFonts w:ascii="Times New Roman" w:hAnsi="Times New Roman" w:cs="Times New Roman"/>
          <w:sz w:val="24"/>
        </w:rPr>
        <w:t>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AC6B95" w:rsidRPr="00C9671E">
        <w:rPr>
          <w:rFonts w:ascii="Times New Roman" w:hAnsi="Times New Roman" w:cs="Times New Roman"/>
          <w:sz w:val="24"/>
        </w:rPr>
        <w:t>мањето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консензус</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четворица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заменици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двајца</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радиодифузен</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сервис</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аудио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аудиовизуелни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дискриминација.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позиции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заснова</w:t>
      </w:r>
      <w:r w:rsidR="00C6674A" w:rsidRPr="00C9671E">
        <w:rPr>
          <w:rFonts w:ascii="Times New Roman" w:hAnsi="Times New Roman" w:cs="Times New Roman"/>
          <w:sz w:val="24"/>
        </w:rPr>
        <w:t>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p>
    <w:p w14:paraId="5132429C" w14:textId="03649BBB" w:rsidR="00131338" w:rsidRPr="00C9671E" w:rsidRDefault="00131338" w:rsidP="006E0C51">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предизвиците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поефикасното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процесот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донесување</w:t>
      </w:r>
      <w:r w:rsidR="00E003C4" w:rsidRPr="00C9671E">
        <w:rPr>
          <w:rFonts w:ascii="Times New Roman" w:hAnsi="Times New Roman" w:cs="Times New Roman"/>
          <w:b/>
          <w:sz w:val="24"/>
        </w:rPr>
        <w:t xml:space="preserve"> </w:t>
      </w:r>
      <w:r w:rsidR="00814E0A">
        <w:rPr>
          <w:rFonts w:ascii="Times New Roman" w:hAnsi="Times New Roman" w:cs="Times New Roman"/>
          <w:b/>
          <w:sz w:val="24"/>
        </w:rPr>
        <w:t>закони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213</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113</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редовна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81</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скратена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19</w:t>
      </w:r>
      <w:r w:rsidR="00E003C4" w:rsidRPr="00C9671E">
        <w:rPr>
          <w:rFonts w:ascii="Times New Roman" w:hAnsi="Times New Roman" w:cs="Times New Roman"/>
          <w:sz w:val="24"/>
        </w:rPr>
        <w:t xml:space="preserve"> </w:t>
      </w:r>
      <w:r w:rsidRPr="00C9671E">
        <w:rPr>
          <w:rFonts w:ascii="Times New Roman" w:hAnsi="Times New Roman" w:cs="Times New Roman"/>
          <w:sz w:val="24"/>
        </w:rPr>
        <w:t>ратификации.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знаменце“,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скратена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усогласување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i/>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945A06"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блокираше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нацрт-закони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скратена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делумно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намалат</w:t>
      </w:r>
      <w:r w:rsidR="00E003C4" w:rsidRPr="00C9671E">
        <w:rPr>
          <w:rFonts w:ascii="Times New Roman" w:hAnsi="Times New Roman" w:cs="Times New Roman"/>
          <w:sz w:val="24"/>
        </w:rPr>
        <w:t xml:space="preserve"> </w:t>
      </w:r>
      <w:r w:rsidRPr="00C9671E">
        <w:rPr>
          <w:rFonts w:ascii="Times New Roman" w:hAnsi="Times New Roman" w:cs="Times New Roman"/>
          <w:sz w:val="24"/>
        </w:rPr>
        <w:t>бидејќи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дебати</w:t>
      </w:r>
      <w:r w:rsidR="00E003C4" w:rsidRPr="00C9671E">
        <w:rPr>
          <w:rFonts w:ascii="Times New Roman" w:hAnsi="Times New Roman" w:cs="Times New Roman"/>
          <w:sz w:val="24"/>
        </w:rPr>
        <w:t xml:space="preserve"> </w:t>
      </w:r>
      <w:r w:rsidR="00945A06"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i/>
          <w:sz w:val="24"/>
        </w:rPr>
        <w:t>види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2.1.2</w:t>
      </w:r>
      <w:r w:rsidRPr="00C9671E">
        <w:rPr>
          <w:rFonts w:ascii="Times New Roman" w:hAnsi="Times New Roman" w:cs="Times New Roman"/>
          <w:sz w:val="24"/>
        </w:rPr>
        <w:t>.</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Реформа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јавната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администрација</w:t>
      </w:r>
      <w:r w:rsidR="00EB0E56" w:rsidRPr="00C9671E">
        <w:rPr>
          <w:rFonts w:ascii="Times New Roman" w:hAnsi="Times New Roman" w:cs="Times New Roman"/>
          <w:sz w:val="24"/>
        </w:rPr>
        <w:t>.</w:t>
      </w:r>
    </w:p>
    <w:p w14:paraId="10323B2F" w14:textId="77777777" w:rsidR="00131338" w:rsidRPr="00C9671E" w:rsidRDefault="00131338" w:rsidP="006E0C51">
      <w:pPr>
        <w:spacing w:after="120" w:line="240" w:lineRule="auto"/>
        <w:jc w:val="both"/>
        <w:rPr>
          <w:rFonts w:ascii="Times New Roman" w:eastAsia="Times New Roman" w:hAnsi="Times New Roman" w:cs="Times New Roman"/>
          <w:color w:val="000000"/>
          <w:sz w:val="24"/>
          <w:szCs w:val="24"/>
        </w:rPr>
      </w:pPr>
      <w:r w:rsidRPr="00C9671E">
        <w:rPr>
          <w:rFonts w:ascii="Times New Roman" w:hAnsi="Times New Roman" w:cs="Times New Roman"/>
          <w:b/>
          <w:color w:val="000000"/>
          <w:sz w:val="24"/>
        </w:rPr>
        <w:t>Надзорот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Собранието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врз</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извршната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продолжи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седум</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седници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пра</w:t>
      </w:r>
      <w:r w:rsidR="003719CB" w:rsidRPr="00C9671E">
        <w:rPr>
          <w:rFonts w:ascii="Times New Roman" w:hAnsi="Times New Roman" w:cs="Times New Roman"/>
          <w:color w:val="000000"/>
          <w:sz w:val="24"/>
        </w:rPr>
        <w:t>тенички</w:t>
      </w:r>
      <w:r w:rsidR="00E003C4" w:rsidRPr="00C9671E">
        <w:rPr>
          <w:rFonts w:ascii="Times New Roman" w:hAnsi="Times New Roman" w:cs="Times New Roman"/>
          <w:color w:val="000000"/>
          <w:sz w:val="24"/>
        </w:rPr>
        <w:t xml:space="preserve"> </w:t>
      </w:r>
      <w:r w:rsidR="003719CB" w:rsidRPr="00C9671E">
        <w:rPr>
          <w:rFonts w:ascii="Times New Roman" w:hAnsi="Times New Roman" w:cs="Times New Roman"/>
          <w:color w:val="000000"/>
          <w:sz w:val="24"/>
        </w:rPr>
        <w:t>прашања</w:t>
      </w:r>
      <w:r w:rsidR="00E003C4" w:rsidRPr="00C9671E">
        <w:rPr>
          <w:rFonts w:ascii="Times New Roman" w:hAnsi="Times New Roman" w:cs="Times New Roman"/>
          <w:color w:val="000000"/>
          <w:sz w:val="24"/>
        </w:rPr>
        <w:t xml:space="preserve"> </w:t>
      </w:r>
      <w:r w:rsidR="003719CB"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003719CB"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003719CB"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Таквите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седници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беа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прекинати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локалните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избори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октомври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продолжија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дури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април</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2022</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00D162C8" w:rsidRPr="00C9671E">
        <w:rPr>
          <w:rFonts w:ascii="Times New Roman" w:hAnsi="Times New Roman" w:cs="Times New Roman"/>
          <w:color w:val="000000"/>
          <w:sz w:val="24"/>
        </w:rPr>
        <w:t>повеќе</w:t>
      </w:r>
      <w:r w:rsidR="00E003C4" w:rsidRPr="00C9671E">
        <w:rPr>
          <w:rFonts w:ascii="Times New Roman" w:hAnsi="Times New Roman" w:cs="Times New Roman"/>
          <w:color w:val="000000"/>
          <w:sz w:val="24"/>
        </w:rPr>
        <w:t xml:space="preserve"> </w:t>
      </w:r>
      <w:r w:rsidR="00D162C8" w:rsidRPr="00C9671E">
        <w:rPr>
          <w:rFonts w:ascii="Times New Roman" w:hAnsi="Times New Roman" w:cs="Times New Roman"/>
          <w:color w:val="000000"/>
          <w:sz w:val="24"/>
        </w:rPr>
        <w:t>од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месец</w:t>
      </w:r>
      <w:r w:rsidR="00D162C8"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откако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новата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презеде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функцијата.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предлога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гласање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недоверба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министри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претходната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беа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дебатирани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бидејќи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тие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ресори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им</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припаднаа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нови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министри.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Пленарните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релевантните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комисии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расправаа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годишните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извештаи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регулаторните,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контролните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надзорните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тела.</w:t>
      </w:r>
    </w:p>
    <w:p w14:paraId="72152BC0" w14:textId="41C2E3FE" w:rsidR="00131338" w:rsidRPr="00C9671E" w:rsidRDefault="00131338" w:rsidP="006E0C51">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Немаше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значителен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преземени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круг</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Pr="00C9671E">
        <w:rPr>
          <w:rFonts w:ascii="Times New Roman" w:hAnsi="Times New Roman" w:cs="Times New Roman"/>
          <w:b/>
          <w:sz w:val="24"/>
        </w:rPr>
        <w:t>Дијалогот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Жан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Моне</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00D162C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опфаќаат</w:t>
      </w:r>
      <w:r w:rsidR="00E003C4" w:rsidRPr="00C9671E">
        <w:rPr>
          <w:rFonts w:ascii="Times New Roman" w:hAnsi="Times New Roman" w:cs="Times New Roman"/>
          <w:sz w:val="24"/>
        </w:rPr>
        <w:t xml:space="preserve"> </w:t>
      </w:r>
      <w:r w:rsidR="00814E0A">
        <w:rPr>
          <w:rFonts w:ascii="Times New Roman" w:hAnsi="Times New Roman" w:cs="Times New Roman"/>
          <w:sz w:val="24"/>
        </w:rPr>
        <w:t xml:space="preserve">измените на </w:t>
      </w:r>
      <w:r w:rsidR="00814E0A" w:rsidRPr="00C9671E">
        <w:rPr>
          <w:rFonts w:ascii="Times New Roman" w:hAnsi="Times New Roman" w:cs="Times New Roman"/>
          <w:b/>
          <w:sz w:val="24"/>
        </w:rPr>
        <w:t>деловни</w:t>
      </w:r>
      <w:r w:rsidR="00814E0A">
        <w:rPr>
          <w:rFonts w:ascii="Times New Roman" w:hAnsi="Times New Roman" w:cs="Times New Roman"/>
          <w:b/>
          <w:sz w:val="24"/>
        </w:rPr>
        <w:t>кот</w:t>
      </w:r>
      <w:r w:rsidR="00814E0A"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работа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конститутивната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седница,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814E0A">
        <w:rPr>
          <w:rFonts w:ascii="Times New Roman" w:hAnsi="Times New Roman" w:cs="Times New Roman"/>
          <w:sz w:val="24"/>
        </w:rPr>
        <w:t xml:space="preserve"> врз Владата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proofErr w:type="spellStart"/>
      <w:r w:rsidR="00D90CC9">
        <w:rPr>
          <w:rFonts w:ascii="Times New Roman" w:hAnsi="Times New Roman" w:cs="Times New Roman"/>
          <w:sz w:val="24"/>
          <w:lang w:val="en-US"/>
        </w:rPr>
        <w:t>jавните</w:t>
      </w:r>
      <w:proofErr w:type="spellEnd"/>
      <w:r w:rsidR="00814E0A" w:rsidRPr="00C9671E">
        <w:rPr>
          <w:rFonts w:ascii="Times New Roman" w:hAnsi="Times New Roman" w:cs="Times New Roman"/>
          <w:sz w:val="24"/>
        </w:rPr>
        <w:t xml:space="preserve"> </w:t>
      </w:r>
      <w:r w:rsidRPr="00C9671E">
        <w:rPr>
          <w:rFonts w:ascii="Times New Roman" w:hAnsi="Times New Roman" w:cs="Times New Roman"/>
          <w:sz w:val="24"/>
        </w:rPr>
        <w:t>расправи,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календар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D162C8" w:rsidRPr="00C9671E">
        <w:rPr>
          <w:rFonts w:ascii="Times New Roman" w:hAnsi="Times New Roman" w:cs="Times New Roman"/>
          <w:sz w:val="24"/>
        </w:rPr>
        <w:t>европското</w:t>
      </w:r>
      <w:r w:rsidR="00E003C4" w:rsidRPr="00C9671E">
        <w:rPr>
          <w:rFonts w:ascii="Times New Roman" w:hAnsi="Times New Roman" w:cs="Times New Roman"/>
          <w:sz w:val="24"/>
        </w:rPr>
        <w:t xml:space="preserve"> </w:t>
      </w:r>
      <w:r w:rsidR="00D162C8" w:rsidRPr="00C9671E">
        <w:rPr>
          <w:rFonts w:ascii="Times New Roman" w:hAnsi="Times New Roman" w:cs="Times New Roman"/>
          <w:sz w:val="24"/>
        </w:rPr>
        <w:t>знаменце</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Pr="00C9671E">
        <w:rPr>
          <w:rFonts w:ascii="Times New Roman" w:hAnsi="Times New Roman" w:cs="Times New Roman"/>
          <w:b/>
          <w:sz w:val="24"/>
        </w:rPr>
        <w:t>Дијалогот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Жан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Моне</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двапати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еднаш</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разговара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преземените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945A06" w:rsidRPr="00C9671E">
        <w:rPr>
          <w:rFonts w:ascii="Times New Roman" w:hAnsi="Times New Roman" w:cs="Times New Roman"/>
          <w:sz w:val="24"/>
        </w:rPr>
        <w:t>д</w:t>
      </w:r>
      <w:r w:rsidRPr="00C9671E">
        <w:rPr>
          <w:rFonts w:ascii="Times New Roman" w:hAnsi="Times New Roman" w:cs="Times New Roman"/>
          <w:sz w:val="24"/>
        </w:rPr>
        <w:t>еловни</w:t>
      </w:r>
      <w:r w:rsidR="00814E0A">
        <w:rPr>
          <w:rFonts w:ascii="Times New Roman" w:hAnsi="Times New Roman" w:cs="Times New Roman"/>
          <w:sz w:val="24"/>
        </w:rPr>
        <w:t>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непромене</w:t>
      </w:r>
      <w:r w:rsidR="00814E0A">
        <w:rPr>
          <w:rFonts w:ascii="Times New Roman" w:hAnsi="Times New Roman" w:cs="Times New Roman"/>
          <w:sz w:val="24"/>
        </w:rPr>
        <w:t>т</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без</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одлагање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p>
    <w:p w14:paraId="313C4F00"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човековите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фундаменталните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меѓупартиска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Клубот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меѓупартиските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парламентарни</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млади,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ЛГБТИК,</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попреченост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спроведоа</w:t>
      </w:r>
      <w:r w:rsidR="00E003C4" w:rsidRPr="00C9671E">
        <w:rPr>
          <w:rFonts w:ascii="Times New Roman" w:hAnsi="Times New Roman" w:cs="Times New Roman"/>
          <w:sz w:val="24"/>
        </w:rPr>
        <w:t xml:space="preserve"> </w:t>
      </w:r>
      <w:r w:rsidR="001935F5" w:rsidRPr="00C9671E">
        <w:rPr>
          <w:rFonts w:ascii="Times New Roman" w:hAnsi="Times New Roman" w:cs="Times New Roman"/>
          <w:sz w:val="24"/>
        </w:rPr>
        <w:t>многу</w:t>
      </w:r>
      <w:r w:rsidRPr="00C9671E">
        <w:rPr>
          <w:rFonts w:ascii="Times New Roman" w:hAnsi="Times New Roman" w:cs="Times New Roman"/>
          <w:sz w:val="24"/>
        </w:rPr>
        <w:t>бројни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тесна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bookmarkStart w:id="41" w:name="_Hlk114691410"/>
      <w:r w:rsidR="00D51B59"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обврзаа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Уставот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вметнат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граѓаните</w:t>
      </w:r>
      <w:r w:rsidR="00E003C4" w:rsidRPr="00C9671E">
        <w:rPr>
          <w:rFonts w:ascii="Times New Roman" w:hAnsi="Times New Roman" w:cs="Times New Roman"/>
          <w:sz w:val="24"/>
        </w:rPr>
        <w:t xml:space="preserve"> </w:t>
      </w:r>
      <w:r w:rsidR="001935F5"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живеат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државата.</w:t>
      </w:r>
      <w:bookmarkEnd w:id="41"/>
    </w:p>
    <w:p w14:paraId="71AF7C5A" w14:textId="77777777" w:rsidR="00131338" w:rsidRPr="00C9671E" w:rsidRDefault="00131338" w:rsidP="006E0C51">
      <w:pPr>
        <w:spacing w:after="120" w:line="240" w:lineRule="auto"/>
        <w:jc w:val="both"/>
        <w:rPr>
          <w:rFonts w:ascii="Times New Roman" w:hAnsi="Times New Roman" w:cs="Times New Roman"/>
          <w:sz w:val="24"/>
          <w:szCs w:val="24"/>
        </w:rPr>
      </w:pPr>
      <w:bookmarkStart w:id="42" w:name="_Hlk113721597"/>
      <w:r w:rsidRPr="00C9671E">
        <w:rPr>
          <w:rFonts w:ascii="Times New Roman" w:hAnsi="Times New Roman" w:cs="Times New Roman"/>
          <w:color w:val="000000" w:themeColor="text1"/>
          <w:sz w:val="24"/>
        </w:rPr>
        <w:t>Продолжи</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да</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се</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утврдува</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одговорноста</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за</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b/>
          <w:color w:val="000000" w:themeColor="text1"/>
          <w:sz w:val="24"/>
        </w:rPr>
        <w:t>насилните</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напади</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во</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Собранието</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во</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април</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2017</w:t>
      </w:r>
      <w:r w:rsidR="00E003C4" w:rsidRPr="00C9671E">
        <w:rPr>
          <w:rFonts w:ascii="Times New Roman" w:hAnsi="Times New Roman" w:cs="Times New Roman"/>
          <w:b/>
          <w:color w:val="000000" w:themeColor="text1"/>
          <w:sz w:val="24"/>
        </w:rPr>
        <w:t xml:space="preserve"> </w:t>
      </w:r>
      <w:r w:rsidRPr="00C9671E">
        <w:rPr>
          <w:rFonts w:ascii="Times New Roman" w:hAnsi="Times New Roman" w:cs="Times New Roman"/>
          <w:b/>
          <w:color w:val="000000" w:themeColor="text1"/>
          <w:sz w:val="24"/>
        </w:rPr>
        <w:t>година</w:t>
      </w:r>
      <w:r w:rsidRPr="00C9671E">
        <w:rPr>
          <w:rFonts w:ascii="Times New Roman" w:hAnsi="Times New Roman" w:cs="Times New Roman"/>
          <w:color w:val="000000" w:themeColor="text1"/>
          <w:sz w:val="24"/>
        </w:rPr>
        <w:t>.</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Апелациониот</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суд</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во</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Скопје</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ги</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потврди</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првостепените</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пресуди</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против</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лицата</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што</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извршиле</w:t>
      </w:r>
      <w:r w:rsidR="00E003C4" w:rsidRPr="00C9671E">
        <w:rPr>
          <w:rFonts w:ascii="Times New Roman" w:hAnsi="Times New Roman" w:cs="Times New Roman"/>
          <w:color w:val="000000" w:themeColor="text1"/>
          <w:sz w:val="24"/>
        </w:rPr>
        <w:t xml:space="preserve"> </w:t>
      </w:r>
      <w:r w:rsidRPr="00C9671E">
        <w:rPr>
          <w:rFonts w:ascii="Times New Roman" w:hAnsi="Times New Roman" w:cs="Times New Roman"/>
          <w:color w:val="000000" w:themeColor="text1"/>
          <w:sz w:val="24"/>
        </w:rPr>
        <w:t>насилство.</w:t>
      </w:r>
    </w:p>
    <w:bookmarkEnd w:id="42"/>
    <w:p w14:paraId="7442823A"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финансирањето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политичките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партии,</w:t>
      </w:r>
      <w:r w:rsidR="00E003C4" w:rsidRPr="00C9671E">
        <w:rPr>
          <w:rFonts w:ascii="Times New Roman" w:hAnsi="Times New Roman" w:cs="Times New Roman"/>
          <w:b/>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(ГРЕКО).</w:t>
      </w:r>
      <w:r w:rsidR="00E003C4" w:rsidRPr="00C9671E">
        <w:rPr>
          <w:rFonts w:ascii="Times New Roman" w:hAnsi="Times New Roman" w:cs="Times New Roman"/>
          <w:sz w:val="24"/>
        </w:rPr>
        <w:t xml:space="preserve"> </w:t>
      </w:r>
      <w:r w:rsidR="000E5D9F" w:rsidRPr="00C9671E">
        <w:rPr>
          <w:rFonts w:ascii="Times New Roman" w:hAnsi="Times New Roman" w:cs="Times New Roman"/>
          <w:i/>
          <w:sz w:val="24"/>
        </w:rPr>
        <w:t>Види</w:t>
      </w:r>
      <w:r w:rsidR="00E003C4" w:rsidRPr="00C9671E">
        <w:rPr>
          <w:rFonts w:ascii="Times New Roman" w:hAnsi="Times New Roman" w:cs="Times New Roman"/>
          <w:i/>
          <w:sz w:val="24"/>
        </w:rPr>
        <w:t xml:space="preserve"> </w:t>
      </w:r>
      <w:r w:rsidR="000E5D9F" w:rsidRPr="00C9671E">
        <w:rPr>
          <w:rFonts w:ascii="Times New Roman" w:hAnsi="Times New Roman" w:cs="Times New Roman"/>
          <w:i/>
          <w:sz w:val="24"/>
        </w:rPr>
        <w:t>Поглавје</w:t>
      </w:r>
      <w:r w:rsidR="00E003C4" w:rsidRPr="00C9671E">
        <w:rPr>
          <w:rFonts w:ascii="Times New Roman" w:hAnsi="Times New Roman" w:cs="Times New Roman"/>
          <w:i/>
          <w:sz w:val="24"/>
        </w:rPr>
        <w:t xml:space="preserve"> </w:t>
      </w:r>
      <w:r w:rsidR="000E5D9F" w:rsidRPr="00C9671E">
        <w:rPr>
          <w:rFonts w:ascii="Times New Roman" w:hAnsi="Times New Roman" w:cs="Times New Roman"/>
          <w:i/>
          <w:sz w:val="24"/>
        </w:rPr>
        <w:t>23</w:t>
      </w:r>
      <w:r w:rsidR="00E003C4" w:rsidRPr="00C9671E">
        <w:rPr>
          <w:rFonts w:ascii="Times New Roman" w:hAnsi="Times New Roman" w:cs="Times New Roman"/>
          <w:i/>
          <w:sz w:val="24"/>
        </w:rPr>
        <w:t xml:space="preserve"> </w:t>
      </w:r>
      <w:r w:rsidR="000E5D9F" w:rsidRPr="00C9671E">
        <w:rPr>
          <w:rFonts w:ascii="Times New Roman" w:hAnsi="Times New Roman" w:cs="Times New Roman"/>
          <w:i/>
          <w:sz w:val="24"/>
        </w:rPr>
        <w:t>–</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Правосудство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фундаментални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подобрат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СДСМ</w:t>
      </w:r>
      <w:r w:rsidRPr="00C9671E">
        <w:rPr>
          <w:rFonts w:ascii="Times New Roman" w:hAnsi="Times New Roman" w:cs="Times New Roman"/>
          <w:sz w:val="24"/>
          <w:vertAlign w:val="superscript"/>
        </w:rPr>
        <w:footnoteReference w:id="5"/>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одржа</w:t>
      </w:r>
      <w:r w:rsidR="00E003C4" w:rsidRPr="00C9671E">
        <w:rPr>
          <w:rFonts w:ascii="Times New Roman" w:hAnsi="Times New Roman" w:cs="Times New Roman"/>
          <w:sz w:val="24"/>
        </w:rPr>
        <w:t xml:space="preserve"> </w:t>
      </w:r>
      <w:r w:rsidRPr="00C9671E">
        <w:rPr>
          <w:rFonts w:ascii="Times New Roman" w:hAnsi="Times New Roman" w:cs="Times New Roman"/>
          <w:sz w:val="24"/>
        </w:rPr>
        <w:t>вторите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партијата.</w:t>
      </w:r>
    </w:p>
    <w:bookmarkEnd w:id="39"/>
    <w:p w14:paraId="368ADCE3"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b/>
          <w:sz w:val="24"/>
          <w:szCs w:val="24"/>
        </w:rPr>
      </w:pPr>
      <w:r w:rsidRPr="00C9671E">
        <w:rPr>
          <w:rFonts w:ascii="Times New Roman" w:hAnsi="Times New Roman" w:cs="Times New Roman"/>
          <w:b/>
          <w:sz w:val="24"/>
        </w:rPr>
        <w:t>Владеење</w:t>
      </w:r>
    </w:p>
    <w:p w14:paraId="0848C703" w14:textId="77777777" w:rsidR="00131338" w:rsidRPr="00C9671E" w:rsidRDefault="00131338" w:rsidP="006E0C5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bookmarkStart w:id="43" w:name="_Hlk113774442"/>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војната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Украина.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изгради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моментум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придвижи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фокусира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ад</w:t>
      </w:r>
      <w:r w:rsidR="00E003C4" w:rsidRPr="00C9671E">
        <w:rPr>
          <w:rFonts w:ascii="Times New Roman" w:hAnsi="Times New Roman" w:cs="Times New Roman"/>
          <w:sz w:val="24"/>
        </w:rPr>
        <w:t xml:space="preserve"> </w:t>
      </w:r>
      <w:r w:rsidRPr="00C9671E">
        <w:rPr>
          <w:rFonts w:ascii="Times New Roman" w:hAnsi="Times New Roman" w:cs="Times New Roman"/>
          <w:sz w:val="24"/>
        </w:rPr>
        <w:t>хок</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Меѓуетничките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стабилни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Охридскиот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рамковен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02643D" w:rsidRPr="00C9671E">
        <w:rPr>
          <w:rFonts w:ascii="Times New Roman" w:hAnsi="Times New Roman" w:cs="Times New Roman"/>
          <w:sz w:val="24"/>
        </w:rPr>
        <w:t>.</w:t>
      </w:r>
    </w:p>
    <w:p w14:paraId="6B0769B2" w14:textId="77777777" w:rsidR="00131338" w:rsidRPr="00C9671E" w:rsidRDefault="00131338" w:rsidP="006E0C51">
      <w:pPr>
        <w:spacing w:after="120" w:line="240" w:lineRule="auto"/>
        <w:jc w:val="both"/>
        <w:rPr>
          <w:rFonts w:ascii="Times New Roman" w:eastAsia="Times New Roman" w:hAnsi="Times New Roman" w:cs="Times New Roman"/>
          <w:sz w:val="24"/>
          <w:szCs w:val="24"/>
        </w:rPr>
      </w:pPr>
      <w:bookmarkStart w:id="44" w:name="_Hlk115355337"/>
      <w:bookmarkEnd w:id="43"/>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јануари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62</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120</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поддржаа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предводена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премиер.</w:t>
      </w:r>
      <w:r w:rsidR="00E003C4" w:rsidRPr="00C9671E">
        <w:rPr>
          <w:rFonts w:ascii="Times New Roman" w:hAnsi="Times New Roman" w:cs="Times New Roman"/>
          <w:sz w:val="24"/>
        </w:rPr>
        <w:t xml:space="preserve"> </w:t>
      </w:r>
      <w:bookmarkEnd w:id="44"/>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владејачка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коалиција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составена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СДСМ</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w:t>
      </w:r>
      <w:r w:rsidR="0002643D"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коалициски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партнери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помалите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ДУИ</w:t>
      </w:r>
      <w:r w:rsidRPr="00C9671E">
        <w:rPr>
          <w:rFonts w:ascii="Times New Roman" w:hAnsi="Times New Roman" w:cs="Times New Roman"/>
          <w:sz w:val="24"/>
          <w:vertAlign w:val="superscript"/>
        </w:rPr>
        <w:footnoteReference w:id="6"/>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Алтернатива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ДПА</w:t>
      </w:r>
      <w:r w:rsidRPr="00C9671E">
        <w:rPr>
          <w:rFonts w:ascii="Times New Roman" w:hAnsi="Times New Roman" w:cs="Times New Roman"/>
          <w:sz w:val="24"/>
          <w:vertAlign w:val="superscript"/>
        </w:rPr>
        <w:footnoteReference w:id="7"/>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19</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министрите,</w:t>
      </w:r>
      <w:r w:rsidR="00E003C4" w:rsidRPr="00C9671E">
        <w:rPr>
          <w:rFonts w:ascii="Times New Roman" w:hAnsi="Times New Roman" w:cs="Times New Roman"/>
          <w:sz w:val="24"/>
        </w:rPr>
        <w:t xml:space="preserve"> </w:t>
      </w:r>
      <w:r w:rsidR="0002643D" w:rsidRPr="00C9671E">
        <w:rPr>
          <w:rFonts w:ascii="Times New Roman" w:hAnsi="Times New Roman" w:cs="Times New Roman"/>
          <w:sz w:val="24"/>
        </w:rPr>
        <w:t>12</w:t>
      </w:r>
      <w:r w:rsidR="00E003C4" w:rsidRPr="00C9671E">
        <w:rPr>
          <w:rFonts w:ascii="Times New Roman" w:hAnsi="Times New Roman" w:cs="Times New Roman"/>
          <w:sz w:val="24"/>
        </w:rPr>
        <w:t xml:space="preserve"> </w:t>
      </w:r>
      <w:r w:rsidR="0002643D"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02643D"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02643D" w:rsidRPr="00C9671E">
        <w:rPr>
          <w:rFonts w:ascii="Times New Roman" w:hAnsi="Times New Roman" w:cs="Times New Roman"/>
          <w:sz w:val="24"/>
        </w:rPr>
        <w:t>замени</w:t>
      </w:r>
      <w:r w:rsidR="008C3AAF" w:rsidRPr="00C9671E">
        <w:rPr>
          <w:rFonts w:ascii="Times New Roman" w:hAnsi="Times New Roman" w:cs="Times New Roman"/>
          <w:sz w:val="24"/>
        </w:rPr>
        <w:t>ци</w:t>
      </w:r>
      <w:r w:rsidR="000E25A0">
        <w:rPr>
          <w:rFonts w:ascii="Times New Roman" w:hAnsi="Times New Roman" w:cs="Times New Roman"/>
          <w:sz w:val="24"/>
        </w:rPr>
        <w:t>те</w:t>
      </w:r>
      <w:r w:rsidR="001935F5" w:rsidRPr="00C9671E">
        <w:rPr>
          <w:rFonts w:ascii="Times New Roman" w:hAnsi="Times New Roman" w:cs="Times New Roman"/>
          <w:sz w:val="24"/>
        </w:rPr>
        <w:t>-</w:t>
      </w:r>
      <w:r w:rsidR="0002643D" w:rsidRPr="00C9671E">
        <w:rPr>
          <w:rFonts w:ascii="Times New Roman" w:hAnsi="Times New Roman" w:cs="Times New Roman"/>
          <w:sz w:val="24"/>
        </w:rPr>
        <w:t>министри</w:t>
      </w:r>
      <w:r w:rsidR="00E003C4" w:rsidRPr="00C9671E">
        <w:rPr>
          <w:rFonts w:ascii="Times New Roman" w:hAnsi="Times New Roman" w:cs="Times New Roman"/>
          <w:sz w:val="24"/>
        </w:rPr>
        <w:t xml:space="preserve"> </w:t>
      </w:r>
      <w:r w:rsidR="0002643D"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02643D" w:rsidRPr="00C9671E">
        <w:rPr>
          <w:rFonts w:ascii="Times New Roman" w:hAnsi="Times New Roman" w:cs="Times New Roman"/>
          <w:sz w:val="24"/>
        </w:rPr>
        <w:t>3</w:t>
      </w:r>
      <w:r w:rsidRPr="00C9671E">
        <w:rPr>
          <w:rFonts w:ascii="Times New Roman" w:hAnsi="Times New Roman" w:cs="Times New Roman"/>
          <w:sz w:val="24"/>
        </w:rPr>
        <w:t>6</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секретари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w:t>
      </w:r>
    </w:p>
    <w:p w14:paraId="166EC6EE" w14:textId="77777777" w:rsidR="00131338" w:rsidRPr="00C9671E" w:rsidRDefault="00131338" w:rsidP="006E0C51">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Главните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владината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програма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периодот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2022</w:t>
      </w:r>
      <w:r w:rsidR="00E003C4" w:rsidRPr="00C9671E">
        <w:rPr>
          <w:rFonts w:ascii="Times New Roman" w:hAnsi="Times New Roman" w:cs="Times New Roman"/>
          <w:b/>
          <w:sz w:val="24"/>
        </w:rPr>
        <w:t xml:space="preserve"> </w:t>
      </w:r>
      <w:r w:rsidR="001935F5" w:rsidRPr="00C9671E">
        <w:rPr>
          <w:rFonts w:ascii="Times New Roman" w:hAnsi="Times New Roman" w:cs="Times New Roman"/>
          <w:b/>
          <w:sz w:val="24"/>
        </w:rPr>
        <w:t>–</w:t>
      </w:r>
      <w:r w:rsidR="00E003C4" w:rsidRPr="00C9671E">
        <w:rPr>
          <w:rFonts w:ascii="Times New Roman" w:hAnsi="Times New Roman" w:cs="Times New Roman"/>
          <w:b/>
          <w:sz w:val="24"/>
        </w:rPr>
        <w:t xml:space="preserve"> </w:t>
      </w:r>
      <w:r w:rsidRPr="00C9671E">
        <w:rPr>
          <w:rFonts w:ascii="Times New Roman" w:hAnsi="Times New Roman" w:cs="Times New Roman"/>
          <w:b/>
          <w:sz w:val="24"/>
        </w:rPr>
        <w:t>2024</w:t>
      </w:r>
      <w:r w:rsidR="00E003C4" w:rsidRPr="00C9671E">
        <w:rPr>
          <w:rFonts w:ascii="Times New Roman" w:hAnsi="Times New Roman" w:cs="Times New Roman"/>
          <w:b/>
          <w:sz w:val="24"/>
        </w:rPr>
        <w:t xml:space="preserve"> </w:t>
      </w:r>
      <w:r w:rsidR="000F2C20" w:rsidRPr="00C9671E">
        <w:rPr>
          <w:rFonts w:ascii="Times New Roman" w:hAnsi="Times New Roman" w:cs="Times New Roman"/>
          <w:b/>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фокусираат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одржлив</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капитал,</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промовирање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p>
    <w:p w14:paraId="32D25647" w14:textId="77777777" w:rsidR="00131338" w:rsidRPr="00C9671E" w:rsidRDefault="00131338" w:rsidP="006E0C51">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b/>
          <w:sz w:val="24"/>
        </w:rPr>
        <w:t>Структурата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преговори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предводена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преговарач.</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w:t>
      </w:r>
      <w:r w:rsidR="001935F5"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оваа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структура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непречено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засегнати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w:t>
      </w:r>
      <w:r w:rsidR="00EB0E56" w:rsidRPr="00C9671E">
        <w:rPr>
          <w:rFonts w:ascii="Times New Roman" w:hAnsi="Times New Roman" w:cs="Times New Roman"/>
          <w:sz w:val="24"/>
        </w:rPr>
        <w:t>ен</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начин.</w:t>
      </w:r>
    </w:p>
    <w:p w14:paraId="4A44B603" w14:textId="77777777" w:rsidR="00131338" w:rsidRPr="00C9671E" w:rsidRDefault="00131338" w:rsidP="006E0C51">
      <w:pPr>
        <w:spacing w:after="120" w:line="240" w:lineRule="auto"/>
        <w:jc w:val="both"/>
        <w:rPr>
          <w:rFonts w:ascii="Times New Roman" w:hAnsi="Times New Roman" w:cs="Times New Roman"/>
          <w:iCs/>
          <w:sz w:val="24"/>
          <w:szCs w:val="24"/>
        </w:rPr>
      </w:pPr>
      <w:r w:rsidRPr="00C9671E">
        <w:rPr>
          <w:rFonts w:ascii="Times New Roman" w:hAnsi="Times New Roman" w:cs="Times New Roman"/>
          <w:b/>
          <w:sz w:val="24"/>
        </w:rPr>
        <w:t>Меѓуетничката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ситуација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меѓуетничките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редовни</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седници</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меѓукултурни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ученици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етнички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Охридскиот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рамковен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2001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негува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мултиетничкиот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карактер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w:t>
      </w:r>
      <w:r w:rsidR="00EB0E56" w:rsidRPr="00C9671E">
        <w:rPr>
          <w:rFonts w:ascii="Times New Roman" w:hAnsi="Times New Roman" w:cs="Times New Roman"/>
          <w:sz w:val="24"/>
        </w:rPr>
        <w:t>ото,</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спроведува.</w:t>
      </w:r>
    </w:p>
    <w:p w14:paraId="49077139" w14:textId="77777777" w:rsidR="00131338" w:rsidRPr="00C9671E" w:rsidRDefault="00131338" w:rsidP="006E0C51">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финализира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локална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самоуправа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единиците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ло</w:t>
      </w:r>
      <w:r w:rsidR="00D51B59" w:rsidRPr="00C9671E">
        <w:rPr>
          <w:rFonts w:ascii="Times New Roman" w:hAnsi="Times New Roman" w:cs="Times New Roman"/>
          <w:sz w:val="24"/>
        </w:rPr>
        <w:t>кално</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севкупната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надлежностите</w:t>
      </w:r>
      <w:r w:rsidR="00E003C4" w:rsidRPr="00C9671E">
        <w:rPr>
          <w:rFonts w:ascii="Times New Roman" w:hAnsi="Times New Roman" w:cs="Times New Roman"/>
          <w:sz w:val="24"/>
        </w:rPr>
        <w:t xml:space="preserve"> </w:t>
      </w:r>
      <w:r w:rsidR="001935F5" w:rsidRPr="00C9671E">
        <w:rPr>
          <w:rFonts w:ascii="Times New Roman" w:hAnsi="Times New Roman" w:cs="Times New Roman"/>
          <w:sz w:val="24"/>
        </w:rPr>
        <w:t>по</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поднационално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наидоа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сериозни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тешкотии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резултат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инфлацијата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трошоци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енергија.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Поларизацијата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предводени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опозицијата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октомври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власта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усложни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преговорите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p>
    <w:p w14:paraId="3D8F7345"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b/>
          <w:sz w:val="24"/>
          <w:szCs w:val="24"/>
        </w:rPr>
      </w:pPr>
      <w:r w:rsidRPr="00C9671E">
        <w:rPr>
          <w:rFonts w:ascii="Times New Roman" w:hAnsi="Times New Roman" w:cs="Times New Roman"/>
          <w:b/>
          <w:sz w:val="24"/>
        </w:rPr>
        <w:t>Граѓанско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општество</w:t>
      </w:r>
      <w:r w:rsidR="00E003C4" w:rsidRPr="00C9671E">
        <w:rPr>
          <w:rFonts w:ascii="Times New Roman" w:hAnsi="Times New Roman" w:cs="Times New Roman"/>
          <w:b/>
          <w:sz w:val="24"/>
        </w:rPr>
        <w:t xml:space="preserve"> </w:t>
      </w:r>
    </w:p>
    <w:p w14:paraId="4345F68F" w14:textId="77777777" w:rsidR="00131338" w:rsidRPr="00C9671E" w:rsidRDefault="00131338" w:rsidP="006E0C51">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поволна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w:t>
      </w:r>
      <w:r w:rsidR="000F2C20" w:rsidRPr="00C9671E">
        <w:rPr>
          <w:rFonts w:ascii="Times New Roman" w:hAnsi="Times New Roman" w:cs="Times New Roman"/>
          <w:sz w:val="24"/>
        </w:rPr>
        <w:t>отпомогнати</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С</w:t>
      </w:r>
      <w:r w:rsidRPr="00C9671E">
        <w:rPr>
          <w:rFonts w:ascii="Times New Roman" w:hAnsi="Times New Roman" w:cs="Times New Roman"/>
          <w:sz w:val="24"/>
        </w:rPr>
        <w:t>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705B41">
        <w:rPr>
          <w:rFonts w:ascii="Times New Roman" w:hAnsi="Times New Roman" w:cs="Times New Roman"/>
          <w:sz w:val="24"/>
        </w:rPr>
        <w:t xml:space="preserve"> </w:t>
      </w:r>
      <w:r w:rsidR="001935F5" w:rsidRPr="00705B41">
        <w:rPr>
          <w:rFonts w:ascii="Times New Roman" w:hAnsi="Times New Roman" w:cs="Times New Roman"/>
          <w:sz w:val="24"/>
        </w:rPr>
        <w:t>–</w:t>
      </w:r>
      <w:r w:rsidR="00E003C4" w:rsidRPr="00705B41">
        <w:rPr>
          <w:rFonts w:ascii="Times New Roman" w:hAnsi="Times New Roman" w:cs="Times New Roman"/>
          <w:sz w:val="24"/>
        </w:rPr>
        <w:t xml:space="preserve"> </w:t>
      </w:r>
      <w:r w:rsidRPr="00C9671E">
        <w:rPr>
          <w:rFonts w:ascii="Times New Roman" w:hAnsi="Times New Roman" w:cs="Times New Roman"/>
          <w:sz w:val="24"/>
        </w:rPr>
        <w:t>2024.</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игра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креирањето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консултативните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практика.</w:t>
      </w:r>
    </w:p>
    <w:p w14:paraId="6E109347"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клучна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компонента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демократски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такво</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w:t>
      </w:r>
      <w:r w:rsidR="00EB0E56" w:rsidRPr="00C9671E">
        <w:rPr>
          <w:rFonts w:ascii="Times New Roman" w:hAnsi="Times New Roman" w:cs="Times New Roman"/>
          <w:sz w:val="24"/>
        </w:rPr>
        <w:t>туции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понатаму</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признаваат.</w:t>
      </w:r>
    </w:p>
    <w:p w14:paraId="0CEF0800"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одигра</w:t>
      </w:r>
      <w:r w:rsidR="00E003C4" w:rsidRPr="00C9671E">
        <w:rPr>
          <w:rFonts w:ascii="Times New Roman" w:hAnsi="Times New Roman" w:cs="Times New Roman"/>
          <w:sz w:val="24"/>
        </w:rPr>
        <w:t xml:space="preserve"> </w:t>
      </w:r>
      <w:r w:rsidRPr="00C9671E">
        <w:rPr>
          <w:rFonts w:ascii="Times New Roman" w:hAnsi="Times New Roman" w:cs="Times New Roman"/>
          <w:sz w:val="24"/>
        </w:rPr>
        <w:t>суштинска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промовираат</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човековите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фундаменталните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тоа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цврсти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улогата</w:t>
      </w:r>
      <w:r w:rsidR="00E003C4" w:rsidRPr="00705B41">
        <w:rPr>
          <w:rFonts w:ascii="Times New Roman" w:hAnsi="Times New Roman" w:cs="Times New Roman"/>
          <w:sz w:val="24"/>
        </w:rPr>
        <w:t xml:space="preserve"> </w:t>
      </w:r>
      <w:r w:rsidR="00287AC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чувари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креирањето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негативното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w:t>
      </w:r>
      <w:r w:rsidR="00955633" w:rsidRPr="00C9671E">
        <w:rPr>
          <w:rFonts w:ascii="Times New Roman" w:hAnsi="Times New Roman" w:cs="Times New Roman"/>
          <w:sz w:val="24"/>
        </w:rPr>
        <w:t>јално</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влијание</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унифицирано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помош</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луѓето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им</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потребна.</w:t>
      </w:r>
    </w:p>
    <w:p w14:paraId="4912AF8E" w14:textId="77777777" w:rsidR="00131338" w:rsidRPr="00C9671E" w:rsidRDefault="00D51B59"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В</w:t>
      </w:r>
      <w:r w:rsidR="00131338"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DF6B35"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главен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структурен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канал</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консултации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вклучување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политичкиот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дијалог</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одлучувањето.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вклучување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креирањето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структурни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поинклузивен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транспарентен</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начин.</w:t>
      </w:r>
      <w:r w:rsidR="00E003C4" w:rsidRPr="00C9671E">
        <w:rPr>
          <w:rFonts w:ascii="Times New Roman" w:hAnsi="Times New Roman" w:cs="Times New Roman"/>
          <w:sz w:val="24"/>
        </w:rPr>
        <w:t xml:space="preserve"> </w:t>
      </w:r>
      <w:bookmarkStart w:id="45" w:name="_Hlk113724239"/>
      <w:r w:rsidR="00131338" w:rsidRPr="00C9671E">
        <w:rPr>
          <w:rFonts w:ascii="Times New Roman" w:hAnsi="Times New Roman" w:cs="Times New Roman"/>
          <w:sz w:val="24"/>
        </w:rPr>
        <w:t>Претставниците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бојкотираа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Органите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воспоставија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повторно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стандардните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државно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годишната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додатокот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државниот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буџет</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131338"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bookmarkEnd w:id="45"/>
    </w:p>
    <w:p w14:paraId="6CE5C655"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357FA3"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2024,</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донесена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институционалното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опкружување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здрав</w:t>
      </w:r>
      <w:r w:rsidR="00E003C4" w:rsidRPr="00C9671E">
        <w:rPr>
          <w:rFonts w:ascii="Times New Roman" w:hAnsi="Times New Roman" w:cs="Times New Roman"/>
          <w:sz w:val="24"/>
        </w:rPr>
        <w:t xml:space="preserve"> </w:t>
      </w:r>
      <w:r w:rsidRPr="00C9671E">
        <w:rPr>
          <w:rFonts w:ascii="Times New Roman" w:hAnsi="Times New Roman" w:cs="Times New Roman"/>
          <w:sz w:val="24"/>
        </w:rPr>
        <w:t>модел</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Потребна</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ефективна</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287AC6"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00DF6B35"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DF6B35" w:rsidRPr="00C9671E">
        <w:rPr>
          <w:rFonts w:ascii="Times New Roman" w:hAnsi="Times New Roman" w:cs="Times New Roman"/>
          <w:sz w:val="24"/>
        </w:rPr>
        <w:t>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охрабруваат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вклучат</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p>
    <w:p w14:paraId="45F68C5C"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b/>
          <w:sz w:val="24"/>
        </w:rPr>
        <w:t>Граѓански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надзор</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врз</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безбедносниот/разузнавачкиот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сектор</w:t>
      </w:r>
    </w:p>
    <w:p w14:paraId="1E738B67"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Собранискиот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разузнавачките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вршеше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поредовно,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инспекциски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доцнењето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техничките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експерти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попречи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му</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доделат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доволно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мандат,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p>
    <w:p w14:paraId="51B7AA0F" w14:textId="77777777" w:rsidR="00131338" w:rsidRPr="00C9671E" w:rsidRDefault="00131338" w:rsidP="006E0C51">
      <w:pPr>
        <w:pStyle w:val="Heading3"/>
        <w:spacing w:before="0"/>
      </w:pPr>
      <w:bookmarkStart w:id="46" w:name="_Toc51252764"/>
      <w:bookmarkStart w:id="47" w:name="_Toc9430341"/>
      <w:bookmarkStart w:id="48" w:name="_Toc84329766"/>
      <w:bookmarkStart w:id="49" w:name="_Toc84631568"/>
      <w:bookmarkStart w:id="50" w:name="_Toc115619778"/>
      <w:bookmarkStart w:id="51" w:name="_Toc117004149"/>
      <w:r w:rsidRPr="00C9671E">
        <w:t>2.1.2</w:t>
      </w:r>
      <w:r w:rsidRPr="00C9671E">
        <w:tab/>
        <w:t>Реформа</w:t>
      </w:r>
      <w:r w:rsidR="00E003C4" w:rsidRPr="00C9671E">
        <w:t xml:space="preserve"> </w:t>
      </w:r>
      <w:r w:rsidRPr="00C9671E">
        <w:t>на</w:t>
      </w:r>
      <w:r w:rsidR="00E003C4" w:rsidRPr="00C9671E">
        <w:t xml:space="preserve"> </w:t>
      </w:r>
      <w:r w:rsidRPr="00C9671E">
        <w:t>јавната</w:t>
      </w:r>
      <w:r w:rsidR="00E003C4" w:rsidRPr="00C9671E">
        <w:t xml:space="preserve"> </w:t>
      </w:r>
      <w:r w:rsidRPr="00C9671E">
        <w:t>администрација</w:t>
      </w:r>
      <w:bookmarkEnd w:id="46"/>
      <w:bookmarkEnd w:id="47"/>
      <w:bookmarkEnd w:id="48"/>
      <w:bookmarkEnd w:id="49"/>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31338" w:rsidRPr="00C9671E" w14:paraId="5A1AB872" w14:textId="77777777" w:rsidTr="006E0C51">
        <w:tc>
          <w:tcPr>
            <w:tcW w:w="9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03F1C5" w14:textId="77777777" w:rsidR="00131338" w:rsidRPr="00C9671E" w:rsidRDefault="00131338" w:rsidP="006E0C51">
            <w:pPr>
              <w:spacing w:after="120" w:line="240" w:lineRule="auto"/>
              <w:jc w:val="both"/>
              <w:rPr>
                <w:rFonts w:ascii="Times New Roman" w:eastAsia="Calibri"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b/>
                <w:sz w:val="24"/>
              </w:rPr>
              <w:t>умерено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357FA3" w:rsidRPr="00C9671E">
              <w:rPr>
                <w:rFonts w:ascii="Times New Roman" w:hAnsi="Times New Roman" w:cs="Times New Roman"/>
                <w:sz w:val="24"/>
              </w:rPr>
              <w:t>свој</w:t>
            </w:r>
            <w:r w:rsidRPr="00C9671E">
              <w:rPr>
                <w:rFonts w:ascii="Times New Roman" w:hAnsi="Times New Roman" w:cs="Times New Roman"/>
                <w:sz w:val="24"/>
              </w:rPr>
              <w:t>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ограничен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минатата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357FA3"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признание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вработувањата,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унапредувањата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отпуштањата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кај</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повисокото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0046458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464586" w:rsidRPr="00C9671E">
              <w:rPr>
                <w:rFonts w:ascii="Times New Roman" w:hAnsi="Times New Roman" w:cs="Times New Roman"/>
                <w:sz w:val="24"/>
              </w:rPr>
              <w:t>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непотизам,</w:t>
            </w:r>
            <w:r w:rsidR="00E003C4" w:rsidRPr="00C9671E">
              <w:rPr>
                <w:rFonts w:ascii="Times New Roman" w:hAnsi="Times New Roman" w:cs="Times New Roman"/>
                <w:sz w:val="24"/>
              </w:rPr>
              <w:t xml:space="preserve"> </w:t>
            </w:r>
            <w:r w:rsidRPr="00C9671E">
              <w:rPr>
                <w:rFonts w:ascii="Times New Roman" w:hAnsi="Times New Roman" w:cs="Times New Roman"/>
                <w:sz w:val="24"/>
              </w:rPr>
              <w:t>блискост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влијание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одбори.</w:t>
            </w:r>
            <w:r w:rsidR="00E003C4" w:rsidRPr="00C9671E">
              <w:rPr>
                <w:rFonts w:ascii="Times New Roman" w:hAnsi="Times New Roman" w:cs="Times New Roman"/>
                <w:sz w:val="24"/>
              </w:rPr>
              <w:t xml:space="preserve"> </w:t>
            </w:r>
          </w:p>
          <w:p w14:paraId="485ED0C2"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оглед</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минатата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доволна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мера,</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p>
          <w:p w14:paraId="787B732C" w14:textId="77777777" w:rsidR="00131338" w:rsidRPr="00C9671E" w:rsidRDefault="00131338" w:rsidP="006E0C51">
            <w:pPr>
              <w:numPr>
                <w:ilvl w:val="0"/>
                <w:numId w:val="1"/>
              </w:numPr>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p>
          <w:p w14:paraId="32FE50E0" w14:textId="77777777" w:rsidR="00131338" w:rsidRPr="00C9671E" w:rsidRDefault="00131338" w:rsidP="006E0C51">
            <w:pPr>
              <w:numPr>
                <w:ilvl w:val="0"/>
                <w:numId w:val="1"/>
              </w:numPr>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00A1334A" w:rsidRPr="00C9671E">
              <w:rPr>
                <w:rFonts w:ascii="Times New Roman" w:hAnsi="Times New Roman" w:cs="Times New Roman"/>
                <w:sz w:val="24"/>
              </w:rPr>
              <w:t>подзаконски</w:t>
            </w:r>
            <w:r w:rsidR="00E003C4" w:rsidRPr="00C9671E">
              <w:rPr>
                <w:rFonts w:ascii="Times New Roman" w:hAnsi="Times New Roman" w:cs="Times New Roman"/>
                <w:sz w:val="24"/>
              </w:rPr>
              <w:t xml:space="preserve"> </w:t>
            </w:r>
            <w:r w:rsidR="00A1334A" w:rsidRPr="00C9671E">
              <w:rPr>
                <w:rFonts w:ascii="Times New Roman" w:hAnsi="Times New Roman" w:cs="Times New Roman"/>
                <w:sz w:val="24"/>
              </w:rPr>
              <w:t>акти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p>
          <w:p w14:paraId="61717ECF" w14:textId="77777777" w:rsidR="00131338" w:rsidRPr="00C9671E" w:rsidRDefault="00131338" w:rsidP="006E0C51">
            <w:pPr>
              <w:numPr>
                <w:ilvl w:val="0"/>
                <w:numId w:val="1"/>
              </w:numPr>
              <w:autoSpaceDE w:val="0"/>
              <w:autoSpaceDN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фокус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електронската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документи.</w:t>
            </w:r>
          </w:p>
        </w:tc>
      </w:tr>
    </w:tbl>
    <w:p w14:paraId="4E22C0CF"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lastRenderedPageBreak/>
        <w:t>Страте</w:t>
      </w:r>
      <w:r w:rsidR="00357FA3" w:rsidRPr="00C9671E">
        <w:rPr>
          <w:rFonts w:ascii="Times New Roman" w:hAnsi="Times New Roman" w:cs="Times New Roman"/>
          <w:sz w:val="24"/>
          <w:u w:val="single"/>
        </w:rPr>
        <w:t>гис</w:t>
      </w:r>
      <w:r w:rsidRPr="00C9671E">
        <w:rPr>
          <w:rFonts w:ascii="Times New Roman" w:hAnsi="Times New Roman" w:cs="Times New Roman"/>
          <w:sz w:val="24"/>
          <w:u w:val="single"/>
        </w:rPr>
        <w:t>ка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рамка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за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реформа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јавната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администрација</w:t>
      </w:r>
    </w:p>
    <w:p w14:paraId="264BA569" w14:textId="77777777" w:rsidR="00131338" w:rsidRPr="00C9671E" w:rsidRDefault="00131338" w:rsidP="006E0C51">
      <w:pPr>
        <w:autoSpaceDE w:val="0"/>
        <w:autoSpaceDN w:val="0"/>
        <w:adjustRightInd w:val="0"/>
        <w:spacing w:after="120" w:line="240" w:lineRule="auto"/>
        <w:jc w:val="both"/>
        <w:rPr>
          <w:rFonts w:ascii="Times New Roman" w:eastAsia="Calibri" w:hAnsi="Times New Roman" w:cs="Times New Roman"/>
          <w:sz w:val="24"/>
          <w:szCs w:val="24"/>
          <w:highlight w:val="cyan"/>
        </w:rPr>
      </w:pP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задоцнувања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известувањето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Стратегијата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реформа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2018</w:t>
      </w:r>
      <w:r w:rsidR="00E003C4" w:rsidRPr="00C9671E">
        <w:rPr>
          <w:rFonts w:ascii="Times New Roman" w:hAnsi="Times New Roman" w:cs="Times New Roman"/>
          <w:sz w:val="24"/>
        </w:rPr>
        <w:t xml:space="preserve"> </w:t>
      </w:r>
      <w:r w:rsidR="00357FA3"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3E6263" w:rsidRPr="00C9671E">
        <w:rPr>
          <w:rFonts w:ascii="Times New Roman" w:hAnsi="Times New Roman" w:cs="Times New Roman"/>
          <w:sz w:val="24"/>
        </w:rPr>
        <w:t>година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001A50C5"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w:t>
      </w:r>
      <w:r w:rsidR="001A50C5" w:rsidRPr="00C9671E">
        <w:rPr>
          <w:rFonts w:ascii="Times New Roman" w:hAnsi="Times New Roman" w:cs="Times New Roman"/>
          <w:sz w:val="24"/>
        </w:rPr>
        <w:t>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дел</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Програмата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реформи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управувањето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2018</w:t>
      </w:r>
      <w:r w:rsidR="00E003C4" w:rsidRPr="00C9671E">
        <w:rPr>
          <w:rFonts w:ascii="Times New Roman" w:hAnsi="Times New Roman" w:cs="Times New Roman"/>
          <w:sz w:val="24"/>
        </w:rPr>
        <w:t xml:space="preserve"> </w:t>
      </w:r>
      <w:r w:rsidR="00357FA3"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заврши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w:t>
      </w:r>
      <w:r w:rsidR="00D51B59" w:rsidRPr="00C9671E">
        <w:rPr>
          <w:rFonts w:ascii="Times New Roman" w:hAnsi="Times New Roman" w:cs="Times New Roman"/>
          <w:sz w:val="24"/>
        </w:rPr>
        <w:t>1</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периодот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357FA3"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година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обезбедуваат</w:t>
      </w:r>
      <w:r w:rsidR="00E003C4" w:rsidRPr="00C9671E">
        <w:rPr>
          <w:rFonts w:ascii="Times New Roman" w:hAnsi="Times New Roman" w:cs="Times New Roman"/>
          <w:sz w:val="24"/>
        </w:rPr>
        <w:t xml:space="preserve"> </w:t>
      </w:r>
      <w:r w:rsidRPr="00C9671E">
        <w:rPr>
          <w:rFonts w:ascii="Times New Roman" w:hAnsi="Times New Roman" w:cs="Times New Roman"/>
          <w:b/>
          <w:sz w:val="24"/>
        </w:rPr>
        <w:t>политичката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001A50C5"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информатич</w:t>
      </w:r>
      <w:r w:rsidR="00D21AD5" w:rsidRPr="00C9671E">
        <w:rPr>
          <w:rFonts w:ascii="Times New Roman" w:hAnsi="Times New Roman" w:cs="Times New Roman"/>
          <w:sz w:val="24"/>
        </w:rPr>
        <w:t>ко</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00D21AD5"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му</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недостасува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екипиран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поттикнат</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техничко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вложат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(види</w:t>
      </w:r>
      <w:r w:rsidR="00E003C4" w:rsidRPr="00C9671E">
        <w:rPr>
          <w:rFonts w:ascii="Times New Roman" w:hAnsi="Times New Roman" w:cs="Times New Roman"/>
          <w:sz w:val="24"/>
        </w:rPr>
        <w:t xml:space="preserve"> </w:t>
      </w:r>
      <w:r w:rsidRPr="00C9671E">
        <w:rPr>
          <w:rFonts w:ascii="Times New Roman" w:hAnsi="Times New Roman" w:cs="Times New Roman"/>
          <w:i/>
          <w:sz w:val="24"/>
        </w:rPr>
        <w:t>Поглавје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32</w:t>
      </w:r>
      <w:r w:rsidR="00E003C4" w:rsidRPr="00C9671E">
        <w:rPr>
          <w:rFonts w:ascii="Times New Roman" w:hAnsi="Times New Roman" w:cs="Times New Roman"/>
          <w:i/>
          <w:sz w:val="24"/>
        </w:rPr>
        <w:t xml:space="preserve"> </w:t>
      </w:r>
      <w:r w:rsidRPr="00C9671E">
        <w:rPr>
          <w:rFonts w:ascii="Times New Roman" w:hAnsi="Times New Roman" w:cs="Times New Roman"/>
          <w:i/>
          <w:sz w:val="24"/>
        </w:rPr>
        <w:t>–</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Финансиска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контрола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двете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зависи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донаторите.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годишната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w:t>
      </w:r>
      <w:r w:rsidR="004624DB" w:rsidRPr="00C9671E">
        <w:rPr>
          <w:rFonts w:ascii="Times New Roman" w:hAnsi="Times New Roman" w:cs="Times New Roman"/>
          <w:sz w:val="24"/>
        </w:rPr>
        <w:t>трација</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значително</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4624DB" w:rsidRPr="00C9671E">
        <w:rPr>
          <w:rFonts w:ascii="Times New Roman" w:hAnsi="Times New Roman" w:cs="Times New Roman"/>
          <w:sz w:val="24"/>
        </w:rPr>
        <w:t>зголеми.</w:t>
      </w:r>
    </w:p>
    <w:p w14:paraId="3F156950"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Развој</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координација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политики</w:t>
      </w:r>
      <w:r w:rsidR="00E003C4" w:rsidRPr="00C9671E">
        <w:rPr>
          <w:rFonts w:ascii="Times New Roman" w:hAnsi="Times New Roman" w:cs="Times New Roman"/>
          <w:sz w:val="24"/>
          <w:u w:val="single"/>
        </w:rPr>
        <w:t xml:space="preserve"> </w:t>
      </w:r>
    </w:p>
    <w:p w14:paraId="3375F66F"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rPr>
        <w:t>Правната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рамка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институционалните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структури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обезбедуваат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кохерентен</w:t>
      </w:r>
      <w:r w:rsidR="00E003C4" w:rsidRPr="00C9671E">
        <w:rPr>
          <w:rFonts w:ascii="Times New Roman" w:hAnsi="Times New Roman" w:cs="Times New Roman"/>
          <w:color w:val="000000"/>
          <w:sz w:val="24"/>
        </w:rPr>
        <w:t xml:space="preserve"> </w:t>
      </w:r>
      <w:r w:rsidRPr="00C9671E">
        <w:rPr>
          <w:rFonts w:ascii="Times New Roman" w:hAnsi="Times New Roman" w:cs="Times New Roman"/>
          <w:b/>
          <w:color w:val="000000"/>
          <w:sz w:val="24"/>
        </w:rPr>
        <w:t>систем</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за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креирање</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политики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опфаќаат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електронски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систем</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страте</w:t>
      </w:r>
      <w:r w:rsidR="00357FA3" w:rsidRPr="00C9671E">
        <w:rPr>
          <w:rFonts w:ascii="Times New Roman" w:hAnsi="Times New Roman" w:cs="Times New Roman"/>
          <w:color w:val="000000"/>
          <w:sz w:val="24"/>
        </w:rPr>
        <w:t>гис</w:t>
      </w:r>
      <w:r w:rsidRPr="00C9671E">
        <w:rPr>
          <w:rFonts w:ascii="Times New Roman" w:hAnsi="Times New Roman" w:cs="Times New Roman"/>
          <w:color w:val="000000"/>
          <w:sz w:val="24"/>
        </w:rPr>
        <w:t>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планирање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подготовка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годишниот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план</w:t>
      </w:r>
      <w:r w:rsidR="00E003C4" w:rsidRPr="00C9671E">
        <w:rPr>
          <w:rFonts w:ascii="Times New Roman" w:hAnsi="Times New Roman" w:cs="Times New Roman"/>
          <w:color w:val="000000"/>
          <w:sz w:val="24"/>
        </w:rPr>
        <w:t xml:space="preserve"> </w:t>
      </w:r>
      <w:r w:rsidR="00D51B59"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00D51B59" w:rsidRPr="00C9671E">
        <w:rPr>
          <w:rFonts w:ascii="Times New Roman" w:hAnsi="Times New Roman" w:cs="Times New Roman"/>
          <w:color w:val="000000"/>
          <w:sz w:val="24"/>
        </w:rPr>
        <w:t>работа</w:t>
      </w:r>
      <w:r w:rsidR="00E003C4" w:rsidRPr="00C9671E">
        <w:rPr>
          <w:rFonts w:ascii="Times New Roman" w:hAnsi="Times New Roman" w:cs="Times New Roman"/>
          <w:color w:val="000000"/>
          <w:sz w:val="24"/>
        </w:rPr>
        <w:t xml:space="preserve"> </w:t>
      </w:r>
      <w:r w:rsidR="00D51B59"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00D51B59" w:rsidRPr="00C9671E">
        <w:rPr>
          <w:rFonts w:ascii="Times New Roman" w:hAnsi="Times New Roman" w:cs="Times New Roman"/>
          <w:color w:val="000000"/>
          <w:sz w:val="24"/>
        </w:rPr>
        <w:t>В</w:t>
      </w:r>
      <w:r w:rsidRPr="00C9671E">
        <w:rPr>
          <w:rFonts w:ascii="Times New Roman" w:hAnsi="Times New Roman" w:cs="Times New Roman"/>
          <w:color w:val="000000"/>
          <w:sz w:val="24"/>
        </w:rPr>
        <w:t>ладата.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Продолжија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напорите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разјаснување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одговорностите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одредени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институции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креирање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политики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обезбедување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нивно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правилно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функционирање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рационализирање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нивоата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известување.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Среднорочното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буџетско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планирање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фискалните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политики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согласност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страте</w:t>
      </w:r>
      <w:r w:rsidR="00357FA3" w:rsidRPr="00C9671E">
        <w:rPr>
          <w:rFonts w:ascii="Times New Roman" w:hAnsi="Times New Roman" w:cs="Times New Roman"/>
          <w:color w:val="000000"/>
          <w:sz w:val="24"/>
        </w:rPr>
        <w:t>гис</w:t>
      </w:r>
      <w:r w:rsidRPr="00C9671E">
        <w:rPr>
          <w:rFonts w:ascii="Times New Roman" w:hAnsi="Times New Roman" w:cs="Times New Roman"/>
          <w:color w:val="000000"/>
          <w:sz w:val="24"/>
        </w:rPr>
        <w:t>ките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приоритети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донесе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методологија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подготовка,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следење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известување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секторските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стратегии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мај</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2022</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цел</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зајакнување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планирањето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политиките.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Улогата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Генералниот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секретаријат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централно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тело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координација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контрола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останува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недоволна.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Новата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Национална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програма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0012222D" w:rsidRPr="00C9671E">
        <w:rPr>
          <w:rFonts w:ascii="Times New Roman" w:hAnsi="Times New Roman" w:cs="Times New Roman"/>
          <w:color w:val="000000"/>
          <w:sz w:val="24"/>
        </w:rPr>
        <w:t>донесување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i/>
          <w:color w:val="000000"/>
          <w:sz w:val="24"/>
        </w:rPr>
        <w:t>правото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ЕУ</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00357FA3"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2025</w:t>
      </w:r>
      <w:r w:rsidR="00E003C4" w:rsidRPr="00C9671E">
        <w:rPr>
          <w:rFonts w:ascii="Times New Roman" w:hAnsi="Times New Roman" w:cs="Times New Roman"/>
          <w:color w:val="000000"/>
          <w:sz w:val="24"/>
        </w:rPr>
        <w:t xml:space="preserve"> </w:t>
      </w:r>
      <w:r w:rsidR="003E6263"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беше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донесена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јуни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одразува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ревидираната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методологија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проширување.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Сè</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уште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објавен</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извештај</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нејзиното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спроведување.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Напредокот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реформите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поврзани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ЕУ</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разгледува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ставка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дневниот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секоја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седница.</w:t>
      </w:r>
    </w:p>
    <w:p w14:paraId="4F7BC808"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color w:val="000000"/>
          <w:sz w:val="24"/>
          <w:szCs w:val="24"/>
        </w:rPr>
      </w:pPr>
      <w:r w:rsidRPr="00C9671E">
        <w:rPr>
          <w:rFonts w:ascii="Times New Roman" w:hAnsi="Times New Roman" w:cs="Times New Roman"/>
          <w:b/>
          <w:color w:val="000000"/>
          <w:sz w:val="24"/>
        </w:rPr>
        <w:lastRenderedPageBreak/>
        <w:t>Политиката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заснована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на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докази</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и</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развојот</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на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законодавството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продолжуваат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делумно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000E0850" w:rsidRPr="00C9671E">
        <w:rPr>
          <w:rFonts w:ascii="Times New Roman" w:hAnsi="Times New Roman" w:cs="Times New Roman"/>
          <w:color w:val="000000"/>
          <w:sz w:val="24"/>
        </w:rPr>
        <w:t>осигуруваат</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Сè</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уште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има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институции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дигитализирале</w:t>
      </w:r>
      <w:r w:rsidR="00E003C4" w:rsidRPr="00C9671E">
        <w:rPr>
          <w:rFonts w:ascii="Times New Roman" w:hAnsi="Times New Roman" w:cs="Times New Roman"/>
          <w:color w:val="000000"/>
          <w:sz w:val="24"/>
        </w:rPr>
        <w:t xml:space="preserve"> </w:t>
      </w:r>
      <w:r w:rsidR="00357FA3" w:rsidRPr="00C9671E">
        <w:rPr>
          <w:rFonts w:ascii="Times New Roman" w:hAnsi="Times New Roman" w:cs="Times New Roman"/>
          <w:color w:val="000000"/>
          <w:sz w:val="24"/>
        </w:rPr>
        <w:t>сво</w:t>
      </w:r>
      <w:r w:rsidR="000E0850" w:rsidRPr="00C9671E">
        <w:rPr>
          <w:rFonts w:ascii="Times New Roman" w:hAnsi="Times New Roman" w:cs="Times New Roman"/>
          <w:color w:val="000000"/>
          <w:sz w:val="24"/>
        </w:rPr>
        <w:t>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регистри,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попречува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административните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податоци.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Споделувањето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административни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податоци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прошири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поедностави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цел</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подоследно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користи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процесот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донесување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одлуки.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влијанието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регулативата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продолжија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користат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формално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испраќаше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Собранието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редовна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постапка,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беа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донесени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скратена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постапка.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влијанието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регулативата,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без</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разлика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законодавната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постапка,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достават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Собранието.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вложуваат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напори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подобр</w:t>
      </w:r>
      <w:r w:rsidR="00357FA3" w:rsidRPr="00C9671E">
        <w:rPr>
          <w:rFonts w:ascii="Times New Roman" w:hAnsi="Times New Roman" w:cs="Times New Roman"/>
          <w:color w:val="000000"/>
          <w:sz w:val="24"/>
        </w:rPr>
        <w:t>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употребата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влијанието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регулативата,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особено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буџетското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влијание.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Министерството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информатичко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општество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администрација,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одговорно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процесот,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зајакне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својот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капацитет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спроведување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поефективна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подоследна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контрола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Националниот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систем</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електронски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консултации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овозможува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инклузивно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учество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засегнати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страни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b/>
          <w:color w:val="000000"/>
          <w:sz w:val="24"/>
        </w:rPr>
        <w:t>јавните</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консултации.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Сепак,</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дополнително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подобри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контролата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следењето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консултативниот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процес</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јавноста.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Бројот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донесени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скратена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постапка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малку</w:t>
      </w:r>
      <w:r w:rsidR="00E003C4" w:rsidRPr="00C9671E">
        <w:rPr>
          <w:rFonts w:ascii="Times New Roman" w:hAnsi="Times New Roman" w:cs="Times New Roman"/>
          <w:color w:val="000000"/>
          <w:sz w:val="24"/>
        </w:rPr>
        <w:t xml:space="preserve"> </w:t>
      </w:r>
      <w:r w:rsidR="002C3473" w:rsidRPr="00C9671E">
        <w:rPr>
          <w:rFonts w:ascii="Times New Roman" w:hAnsi="Times New Roman" w:cs="Times New Roman"/>
          <w:color w:val="000000"/>
          <w:sz w:val="24"/>
        </w:rPr>
        <w:t>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опадна</w:t>
      </w:r>
      <w:r w:rsidR="002C3473" w:rsidRPr="00C9671E">
        <w:rPr>
          <w:rFonts w:ascii="Times New Roman" w:hAnsi="Times New Roman" w:cs="Times New Roman"/>
          <w:color w:val="000000"/>
          <w:sz w:val="24"/>
        </w:rPr>
        <w:t>т</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изнесува</w:t>
      </w:r>
      <w:r w:rsidR="001D6B7A" w:rsidRPr="00C9671E">
        <w:rPr>
          <w:rFonts w:ascii="Times New Roman" w:hAnsi="Times New Roman" w:cs="Times New Roman"/>
          <w:color w:val="000000"/>
          <w:sz w:val="24"/>
        </w:rPr>
        <w:t>ше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38</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w:t>
      </w:r>
      <w:r w:rsidRPr="00C9671E">
        <w:rPr>
          <w:rFonts w:ascii="Times New Roman" w:hAnsi="Times New Roman" w:cs="Times New Roman"/>
          <w:i/>
          <w:color w:val="000000"/>
          <w:sz w:val="24"/>
        </w:rPr>
        <w:t>види</w:t>
      </w:r>
      <w:r w:rsidR="00E003C4" w:rsidRPr="00C9671E">
        <w:rPr>
          <w:rFonts w:ascii="Times New Roman" w:hAnsi="Times New Roman" w:cs="Times New Roman"/>
          <w:i/>
          <w:color w:val="000000"/>
          <w:sz w:val="24"/>
        </w:rPr>
        <w:t xml:space="preserve"> </w:t>
      </w:r>
      <w:r w:rsidRPr="00C9671E">
        <w:rPr>
          <w:rFonts w:ascii="Times New Roman" w:hAnsi="Times New Roman" w:cs="Times New Roman"/>
          <w:i/>
          <w:color w:val="000000"/>
          <w:sz w:val="24"/>
        </w:rPr>
        <w:t>2.1.1.</w:t>
      </w:r>
      <w:r w:rsidR="00E003C4" w:rsidRPr="00C9671E">
        <w:rPr>
          <w:rFonts w:ascii="Times New Roman" w:hAnsi="Times New Roman" w:cs="Times New Roman"/>
          <w:i/>
          <w:color w:val="000000"/>
          <w:sz w:val="24"/>
        </w:rPr>
        <w:t xml:space="preserve"> </w:t>
      </w:r>
      <w:r w:rsidRPr="00C9671E">
        <w:rPr>
          <w:rFonts w:ascii="Times New Roman" w:hAnsi="Times New Roman" w:cs="Times New Roman"/>
          <w:i/>
          <w:color w:val="000000"/>
          <w:sz w:val="24"/>
        </w:rPr>
        <w:t>Демократија</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Овие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претрпеа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соодветен</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процес</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јавна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консултација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беа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редовно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поткрепени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процени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влијанието.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подобри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подготовката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законодавството.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Честите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законски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измени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создаваат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правна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несигурност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попречуваат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правилното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спроведување.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Употребата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„европското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знаменце“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w:t>
      </w:r>
      <w:r w:rsidR="00E003C4" w:rsidRPr="00C9671E">
        <w:rPr>
          <w:rFonts w:ascii="Times New Roman" w:hAnsi="Times New Roman" w:cs="Times New Roman"/>
          <w:color w:val="000000"/>
          <w:sz w:val="24"/>
        </w:rPr>
        <w:t xml:space="preserve"> </w:t>
      </w:r>
      <w:r w:rsidR="001D6B7A" w:rsidRPr="00C9671E">
        <w:rPr>
          <w:rFonts w:ascii="Times New Roman" w:hAnsi="Times New Roman" w:cs="Times New Roman"/>
          <w:color w:val="000000"/>
          <w:sz w:val="24"/>
        </w:rPr>
        <w:t>доследна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поврзана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главно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имаат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цел</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усогласат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националното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законодавство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i/>
          <w:color w:val="000000"/>
          <w:sz w:val="24"/>
        </w:rPr>
        <w:t>правото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ЕУ</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w:t>
      </w:r>
      <w:r w:rsidRPr="00C9671E">
        <w:rPr>
          <w:rFonts w:ascii="Times New Roman" w:hAnsi="Times New Roman" w:cs="Times New Roman"/>
          <w:i/>
          <w:color w:val="000000"/>
          <w:sz w:val="24"/>
        </w:rPr>
        <w:t>види</w:t>
      </w:r>
      <w:r w:rsidR="00E003C4" w:rsidRPr="00C9671E">
        <w:rPr>
          <w:rFonts w:ascii="Times New Roman" w:hAnsi="Times New Roman" w:cs="Times New Roman"/>
          <w:i/>
          <w:color w:val="000000"/>
          <w:sz w:val="24"/>
        </w:rPr>
        <w:t xml:space="preserve"> </w:t>
      </w:r>
      <w:r w:rsidRPr="00C9671E">
        <w:rPr>
          <w:rFonts w:ascii="Times New Roman" w:hAnsi="Times New Roman" w:cs="Times New Roman"/>
          <w:i/>
          <w:color w:val="000000"/>
          <w:sz w:val="24"/>
        </w:rPr>
        <w:t>2.1.1</w:t>
      </w:r>
      <w:r w:rsidR="00E003C4" w:rsidRPr="00C9671E">
        <w:rPr>
          <w:rFonts w:ascii="Times New Roman" w:hAnsi="Times New Roman" w:cs="Times New Roman"/>
          <w:i/>
          <w:color w:val="000000"/>
          <w:sz w:val="24"/>
        </w:rPr>
        <w:t xml:space="preserve"> </w:t>
      </w:r>
      <w:r w:rsidRPr="00C9671E">
        <w:rPr>
          <w:rFonts w:ascii="Times New Roman" w:hAnsi="Times New Roman" w:cs="Times New Roman"/>
          <w:i/>
          <w:color w:val="000000"/>
          <w:sz w:val="24"/>
        </w:rPr>
        <w:t>Демократија).</w:t>
      </w:r>
    </w:p>
    <w:p w14:paraId="5AB5AE3A"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b/>
          <w:sz w:val="24"/>
        </w:rPr>
        <w:t>Јавниот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надзор</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работата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Владата</w:t>
      </w:r>
      <w:r w:rsidR="00E003C4" w:rsidRPr="00C9671E">
        <w:rPr>
          <w:rFonts w:ascii="Times New Roman" w:hAnsi="Times New Roman" w:cs="Times New Roman"/>
          <w:b/>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соопштенија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печат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објавување</w:t>
      </w:r>
      <w:r w:rsidR="00E003C4" w:rsidRPr="00C9671E">
        <w:rPr>
          <w:rFonts w:ascii="Times New Roman" w:hAnsi="Times New Roman" w:cs="Times New Roman"/>
          <w:sz w:val="24"/>
        </w:rPr>
        <w:t xml:space="preserve"> </w:t>
      </w:r>
      <w:r w:rsidR="002C347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агенди</w:t>
      </w:r>
      <w:r w:rsidR="002C3473"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записници</w:t>
      </w:r>
      <w:r w:rsidR="002C3473"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документите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годишните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p>
    <w:p w14:paraId="06E9C050"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bCs/>
          <w:sz w:val="24"/>
          <w:szCs w:val="24"/>
          <w:u w:val="single"/>
        </w:rPr>
      </w:pPr>
      <w:r w:rsidRPr="00C9671E">
        <w:rPr>
          <w:rFonts w:ascii="Times New Roman" w:hAnsi="Times New Roman" w:cs="Times New Roman"/>
          <w:sz w:val="24"/>
          <w:u w:val="single"/>
        </w:rPr>
        <w:t>Управување</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со</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јавните</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финансии</w:t>
      </w:r>
    </w:p>
    <w:p w14:paraId="50837D5A"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Националните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завршија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Програмата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реформа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управувањето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(2018</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w:t>
      </w:r>
      <w:r w:rsidR="00955633" w:rsidRPr="00C9671E">
        <w:rPr>
          <w:rFonts w:ascii="Times New Roman" w:hAnsi="Times New Roman" w:cs="Times New Roman"/>
          <w:sz w:val="24"/>
        </w:rPr>
        <w:t>ни</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доцнења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нереалното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одложеното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конечно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2024,</w:t>
      </w:r>
      <w:r w:rsidR="00E003C4" w:rsidRPr="00C9671E">
        <w:rPr>
          <w:rFonts w:ascii="Times New Roman" w:hAnsi="Times New Roman" w:cs="Times New Roman"/>
          <w:sz w:val="24"/>
        </w:rPr>
        <w:t xml:space="preserve"> </w:t>
      </w:r>
      <w:r w:rsidRPr="00C9671E">
        <w:rPr>
          <w:rFonts w:ascii="Times New Roman" w:hAnsi="Times New Roman" w:cs="Times New Roman"/>
          <w:sz w:val="24"/>
        </w:rPr>
        <w:t>која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стабилизира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долгот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рок</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расходи.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w:t>
      </w:r>
      <w:r w:rsidR="001D6B7A" w:rsidRPr="00C9671E">
        <w:rPr>
          <w:rFonts w:ascii="Times New Roman" w:hAnsi="Times New Roman" w:cs="Times New Roman"/>
          <w:sz w:val="24"/>
        </w:rPr>
        <w:t>22</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П</w:t>
      </w:r>
      <w:r w:rsidRPr="00C9671E">
        <w:rPr>
          <w:rFonts w:ascii="Times New Roman" w:hAnsi="Times New Roman" w:cs="Times New Roman"/>
          <w:sz w:val="24"/>
        </w:rPr>
        <w:t>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периодот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000F2C20"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(види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i/>
          <w:sz w:val="24"/>
        </w:rPr>
        <w:t>Поглавје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17</w:t>
      </w:r>
      <w:r w:rsidR="00E003C4" w:rsidRPr="00C9671E">
        <w:rPr>
          <w:rFonts w:ascii="Times New Roman" w:hAnsi="Times New Roman" w:cs="Times New Roman"/>
          <w:i/>
          <w:sz w:val="24"/>
        </w:rPr>
        <w:t xml:space="preserve"> </w:t>
      </w:r>
      <w:r w:rsidRPr="00C9671E">
        <w:rPr>
          <w:rFonts w:ascii="Times New Roman" w:hAnsi="Times New Roman" w:cs="Times New Roman"/>
          <w:i/>
          <w:sz w:val="24"/>
        </w:rPr>
        <w:t>–</w:t>
      </w:r>
      <w:r w:rsidR="00E003C4" w:rsidRPr="00C9671E">
        <w:rPr>
          <w:rFonts w:ascii="Times New Roman" w:hAnsi="Times New Roman" w:cs="Times New Roman"/>
          <w:i/>
          <w:sz w:val="24"/>
        </w:rPr>
        <w:t xml:space="preserve"> </w:t>
      </w:r>
      <w:r w:rsidR="003E6263" w:rsidRPr="00C9671E">
        <w:rPr>
          <w:rFonts w:ascii="Times New Roman" w:hAnsi="Times New Roman" w:cs="Times New Roman"/>
          <w:i/>
          <w:sz w:val="24"/>
        </w:rPr>
        <w:t>Е</w:t>
      </w:r>
      <w:r w:rsidRPr="00C9671E">
        <w:rPr>
          <w:rFonts w:ascii="Times New Roman" w:hAnsi="Times New Roman" w:cs="Times New Roman"/>
          <w:i/>
          <w:sz w:val="24"/>
        </w:rPr>
        <w:t>кономска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монетарна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политика</w:t>
      </w:r>
      <w:r w:rsidR="00EB0E56" w:rsidRPr="00C9671E">
        <w:rPr>
          <w:rFonts w:ascii="Times New Roman" w:hAnsi="Times New Roman" w:cs="Times New Roman"/>
          <w:sz w:val="24"/>
        </w:rPr>
        <w:t>).</w:t>
      </w:r>
    </w:p>
    <w:p w14:paraId="5F6CB9B0"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приходите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расходите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претпријатија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квартална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алатка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долг</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w:t>
      </w:r>
      <w:r w:rsidR="00413A21"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квартални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користењето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бу</w:t>
      </w:r>
      <w:r w:rsidR="00EB0E56" w:rsidRPr="00C9671E">
        <w:rPr>
          <w:rFonts w:ascii="Times New Roman" w:hAnsi="Times New Roman" w:cs="Times New Roman"/>
          <w:sz w:val="24"/>
        </w:rPr>
        <w:t>џетите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локалната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самоуправа.</w:t>
      </w:r>
    </w:p>
    <w:p w14:paraId="691C8687"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учеството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1D6B7A" w:rsidRPr="00C9671E">
        <w:rPr>
          <w:rFonts w:ascii="Times New Roman" w:hAnsi="Times New Roman" w:cs="Times New Roman"/>
          <w:sz w:val="24"/>
        </w:rPr>
        <w:t>вноста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секоја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D6B7A" w:rsidRPr="00C9671E">
        <w:rPr>
          <w:rFonts w:ascii="Times New Roman" w:hAnsi="Times New Roman" w:cs="Times New Roman"/>
          <w:sz w:val="24"/>
        </w:rPr>
        <w:t>подготовка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известување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b/>
          <w:sz w:val="24"/>
        </w:rPr>
        <w:t>ефективноста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расходи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финансии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003E6263" w:rsidRPr="00C9671E">
        <w:rPr>
          <w:rFonts w:ascii="Times New Roman" w:hAnsi="Times New Roman" w:cs="Times New Roman"/>
          <w:sz w:val="24"/>
        </w:rPr>
        <w:t>година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2024</w:t>
      </w:r>
      <w:r w:rsidR="00E003C4" w:rsidRPr="00C9671E">
        <w:rPr>
          <w:rFonts w:ascii="Times New Roman" w:hAnsi="Times New Roman" w:cs="Times New Roman"/>
          <w:sz w:val="24"/>
        </w:rPr>
        <w:t xml:space="preserve"> </w:t>
      </w:r>
      <w:r w:rsidR="003E6263"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даночен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дигитализаци</w:t>
      </w:r>
      <w:r w:rsidR="00EB0E56" w:rsidRPr="00C9671E">
        <w:rPr>
          <w:rFonts w:ascii="Times New Roman" w:hAnsi="Times New Roman" w:cs="Times New Roman"/>
          <w:sz w:val="24"/>
        </w:rPr>
        <w:t>јата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јавната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администрација.</w:t>
      </w:r>
    </w:p>
    <w:p w14:paraId="0661D0F9"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Јавна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служба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управување</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со</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човечки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ресурси</w:t>
      </w:r>
    </w:p>
    <w:p w14:paraId="719A9175"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i/>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ревидираниот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b/>
          <w:sz w:val="24"/>
        </w:rPr>
        <w:t>вработување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врз</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основа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правични</w:t>
      </w:r>
      <w:r w:rsidR="00E003C4" w:rsidRPr="00C9671E">
        <w:rPr>
          <w:rFonts w:ascii="Times New Roman" w:hAnsi="Times New Roman" w:cs="Times New Roman"/>
          <w:sz w:val="24"/>
        </w:rPr>
        <w:t xml:space="preserve"> </w:t>
      </w:r>
      <w:r w:rsidRPr="00C9671E">
        <w:rPr>
          <w:rFonts w:ascii="Times New Roman" w:hAnsi="Times New Roman" w:cs="Times New Roman"/>
          <w:b/>
          <w:sz w:val="24"/>
        </w:rPr>
        <w:t>унапредувања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b/>
          <w:sz w:val="24"/>
        </w:rPr>
        <w:t>отпуштања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2014</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доведоа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недоследна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унапредување.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контрадикторните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дозволува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исклучување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често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користи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трансформирање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определено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неопределено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00413A21" w:rsidRPr="00C9671E">
        <w:rPr>
          <w:rFonts w:ascii="Times New Roman" w:hAnsi="Times New Roman" w:cs="Times New Roman"/>
          <w:sz w:val="24"/>
        </w:rPr>
        <w:t>Основите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отпуштање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потранспарентни.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(види</w:t>
      </w:r>
      <w:r w:rsidR="00E003C4" w:rsidRPr="00C9671E">
        <w:rPr>
          <w:rFonts w:ascii="Times New Roman" w:hAnsi="Times New Roman" w:cs="Times New Roman"/>
          <w:sz w:val="24"/>
        </w:rPr>
        <w:t xml:space="preserve"> </w:t>
      </w:r>
      <w:r w:rsidRPr="00C9671E">
        <w:rPr>
          <w:rFonts w:ascii="Times New Roman" w:hAnsi="Times New Roman" w:cs="Times New Roman"/>
          <w:i/>
          <w:sz w:val="24"/>
        </w:rPr>
        <w:t>Поглавје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23</w:t>
      </w:r>
      <w:r w:rsidR="00E003C4" w:rsidRPr="00C9671E">
        <w:rPr>
          <w:rFonts w:ascii="Times New Roman" w:hAnsi="Times New Roman" w:cs="Times New Roman"/>
          <w:i/>
          <w:sz w:val="24"/>
        </w:rPr>
        <w:t xml:space="preserve"> </w:t>
      </w:r>
      <w:r w:rsidRPr="00C9671E">
        <w:rPr>
          <w:rFonts w:ascii="Times New Roman" w:hAnsi="Times New Roman" w:cs="Times New Roman"/>
          <w:i/>
          <w:sz w:val="24"/>
        </w:rPr>
        <w:t>–</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Правосудство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фундаментални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права</w:t>
      </w:r>
      <w:r w:rsidR="00EB0E56" w:rsidRPr="00C9671E">
        <w:rPr>
          <w:rFonts w:ascii="Times New Roman" w:hAnsi="Times New Roman" w:cs="Times New Roman"/>
          <w:sz w:val="24"/>
        </w:rPr>
        <w:t>).</w:t>
      </w:r>
    </w:p>
    <w:p w14:paraId="51CB2DC3"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информатичко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координира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следи</w:t>
      </w:r>
      <w:r w:rsidR="00E003C4" w:rsidRPr="00C9671E">
        <w:rPr>
          <w:rFonts w:ascii="Times New Roman" w:hAnsi="Times New Roman" w:cs="Times New Roman"/>
          <w:sz w:val="24"/>
        </w:rPr>
        <w:t xml:space="preserve"> </w:t>
      </w:r>
      <w:r w:rsidRPr="00C9671E">
        <w:rPr>
          <w:rFonts w:ascii="Times New Roman" w:hAnsi="Times New Roman" w:cs="Times New Roman"/>
          <w:b/>
          <w:sz w:val="24"/>
        </w:rPr>
        <w:t>управувањето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човечките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капацитетот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инволвирани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зголемат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систематска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ресорните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b/>
          <w:sz w:val="24"/>
        </w:rPr>
        <w:t>Системот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плати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ревидира.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имаат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исплаќаат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помали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w:t>
      </w:r>
      <w:r w:rsidR="00EB0E56" w:rsidRPr="00C9671E">
        <w:rPr>
          <w:rFonts w:ascii="Times New Roman" w:hAnsi="Times New Roman" w:cs="Times New Roman"/>
          <w:sz w:val="24"/>
        </w:rPr>
        <w:t>вање</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EB0E56" w:rsidRPr="00C9671E">
        <w:rPr>
          <w:rFonts w:ascii="Times New Roman" w:hAnsi="Times New Roman" w:cs="Times New Roman"/>
          <w:sz w:val="24"/>
        </w:rPr>
        <w:t>година.</w:t>
      </w:r>
    </w:p>
    <w:p w14:paraId="7AA78035" w14:textId="77777777" w:rsidR="00131338" w:rsidRPr="00C9671E" w:rsidRDefault="00131338" w:rsidP="006E0C51">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регистарот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опфаќа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армијата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55,3</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служби</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заклучно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далеку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помалку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застапени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највисоките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позиции,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14</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кадар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труд</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формиран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Ресурсен</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центар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родово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креирање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Правичната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застапеност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малцинствата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C83C0A" w:rsidRPr="00C9671E">
        <w:rPr>
          <w:rFonts w:ascii="Times New Roman" w:hAnsi="Times New Roman" w:cs="Times New Roman"/>
          <w:sz w:val="24"/>
        </w:rPr>
        <w:t>дослед</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низ</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низ</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категории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Изразена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загриженост,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статистика,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информатичко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ревидирање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формулата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таканаречениот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„БалансЕР“.</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алатка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секоја</w:t>
      </w:r>
      <w:r w:rsidR="00E003C4" w:rsidRPr="00C9671E">
        <w:rPr>
          <w:rFonts w:ascii="Times New Roman" w:hAnsi="Times New Roman" w:cs="Times New Roman"/>
          <w:sz w:val="24"/>
        </w:rPr>
        <w:t xml:space="preserve"> </w:t>
      </w:r>
      <w:r w:rsidRPr="00C9671E">
        <w:rPr>
          <w:rFonts w:ascii="Times New Roman" w:hAnsi="Times New Roman" w:cs="Times New Roman"/>
          <w:sz w:val="24"/>
        </w:rPr>
        <w:t>етничка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Трансферот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комплетираше,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поткопуваат</w:t>
      </w:r>
      <w:r w:rsidR="00E003C4" w:rsidRPr="00C9671E">
        <w:rPr>
          <w:rFonts w:ascii="Times New Roman" w:hAnsi="Times New Roman" w:cs="Times New Roman"/>
          <w:sz w:val="24"/>
        </w:rPr>
        <w:t xml:space="preserve"> </w:t>
      </w:r>
      <w:r w:rsidR="000E5D9F" w:rsidRPr="00C9671E">
        <w:rPr>
          <w:rFonts w:ascii="Times New Roman" w:hAnsi="Times New Roman" w:cs="Times New Roman"/>
          <w:sz w:val="24"/>
        </w:rPr>
        <w:t>начелата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w:t>
      </w:r>
      <w:r w:rsidR="00EB0E56" w:rsidRPr="00C9671E">
        <w:rPr>
          <w:rFonts w:ascii="Times New Roman" w:hAnsi="Times New Roman" w:cs="Times New Roman"/>
          <w:sz w:val="24"/>
        </w:rPr>
        <w:t>ост.</w:t>
      </w:r>
    </w:p>
    <w:p w14:paraId="06EE6074"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color w:val="000000"/>
          <w:sz w:val="24"/>
          <w:szCs w:val="24"/>
        </w:rPr>
      </w:pPr>
      <w:r w:rsidRPr="00C9671E">
        <w:rPr>
          <w:rFonts w:ascii="Times New Roman" w:hAnsi="Times New Roman" w:cs="Times New Roman"/>
          <w:b/>
          <w:sz w:val="24"/>
        </w:rPr>
        <w:t>Професионалниот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развој</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систематски</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D51B59"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недостасува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централизирана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нудат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различните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надгради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регулативите</w:t>
      </w:r>
      <w:r w:rsidR="00E003C4" w:rsidRPr="00C9671E">
        <w:rPr>
          <w:rFonts w:ascii="Times New Roman" w:hAnsi="Times New Roman" w:cs="Times New Roman"/>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интегритет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во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служба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методологија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ризикот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институционална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укажувачи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тоа</w:t>
      </w:r>
      <w:r w:rsidR="00E003C4" w:rsidRPr="00C9671E">
        <w:rPr>
          <w:rFonts w:ascii="Times New Roman" w:hAnsi="Times New Roman" w:cs="Times New Roman"/>
          <w:sz w:val="24"/>
        </w:rPr>
        <w:t xml:space="preserve"> </w:t>
      </w:r>
      <w:r w:rsidRPr="00C9671E">
        <w:rPr>
          <w:rFonts w:ascii="Times New Roman" w:hAnsi="Times New Roman" w:cs="Times New Roman"/>
          <w:sz w:val="24"/>
        </w:rPr>
        <w:t>дали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укажувачите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одмазднички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дејства.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пријавиле</w:t>
      </w:r>
      <w:r w:rsidR="00E003C4" w:rsidRPr="00C9671E">
        <w:rPr>
          <w:rFonts w:ascii="Times New Roman" w:hAnsi="Times New Roman" w:cs="Times New Roman"/>
          <w:sz w:val="24"/>
        </w:rPr>
        <w:t xml:space="preserve"> </w:t>
      </w:r>
      <w:r w:rsidRPr="00C9671E">
        <w:rPr>
          <w:rFonts w:ascii="Times New Roman" w:hAnsi="Times New Roman" w:cs="Times New Roman"/>
          <w:sz w:val="24"/>
        </w:rPr>
        <w:t>44</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укажувачи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испратиле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p>
    <w:p w14:paraId="01F6E489"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Отчетност</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администрацијата</w:t>
      </w:r>
    </w:p>
    <w:p w14:paraId="77AA1D8E"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139</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реорганизација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избирајќи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пилот</w:t>
      </w:r>
      <w:r w:rsidR="004E56AC" w:rsidRPr="00C9671E">
        <w:rPr>
          <w:rFonts w:ascii="Times New Roman" w:hAnsi="Times New Roman" w:cs="Times New Roman"/>
          <w:sz w:val="24"/>
        </w:rPr>
        <w:t>-</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моментов</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рационализира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елиминира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преклопуваат,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b/>
          <w:sz w:val="24"/>
        </w:rPr>
        <w:t>нивоата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одговорност</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Делегирањето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позиции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раководната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низ</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Pr="00C9671E">
        <w:rPr>
          <w:rFonts w:ascii="Times New Roman" w:hAnsi="Times New Roman" w:cs="Times New Roman"/>
          <w:i/>
          <w:sz w:val="24"/>
        </w:rPr>
        <w:t>види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Поглавје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32</w:t>
      </w:r>
      <w:r w:rsidR="00E003C4" w:rsidRPr="00C9671E">
        <w:rPr>
          <w:rFonts w:ascii="Times New Roman" w:hAnsi="Times New Roman" w:cs="Times New Roman"/>
          <w:i/>
          <w:sz w:val="24"/>
        </w:rPr>
        <w:t xml:space="preserve"> </w:t>
      </w:r>
      <w:r w:rsidRPr="00C9671E">
        <w:rPr>
          <w:rFonts w:ascii="Times New Roman" w:hAnsi="Times New Roman" w:cs="Times New Roman"/>
          <w:i/>
          <w:sz w:val="24"/>
        </w:rPr>
        <w:t>–</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Финансиска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контрола</w:t>
      </w:r>
      <w:r w:rsidRPr="00C9671E">
        <w:rPr>
          <w:rFonts w:ascii="Times New Roman" w:hAnsi="Times New Roman" w:cs="Times New Roman"/>
          <w:sz w:val="24"/>
        </w:rPr>
        <w:t>).</w:t>
      </w:r>
    </w:p>
    <w:p w14:paraId="543CBCDC"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w:t>
      </w:r>
      <w:r w:rsidR="00E003C4" w:rsidRPr="00C9671E">
        <w:rPr>
          <w:rFonts w:ascii="Times New Roman" w:hAnsi="Times New Roman" w:cs="Times New Roman"/>
          <w:sz w:val="24"/>
        </w:rPr>
        <w:t xml:space="preserve"> </w:t>
      </w:r>
      <w:r w:rsidRPr="00C9671E">
        <w:rPr>
          <w:rFonts w:ascii="Times New Roman" w:hAnsi="Times New Roman" w:cs="Times New Roman"/>
          <w:b/>
          <w:sz w:val="24"/>
        </w:rPr>
        <w:t>надзор</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независни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надзорни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тела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наоди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посистематски.</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Правото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граѓаните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пристап</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до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информациите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карактер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Сепак,</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охрабрува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обелоденување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бази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официјалните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веб-страници.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карактер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прошири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кадарот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понудите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портала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барателите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носители</w:t>
      </w:r>
      <w:r w:rsidR="00955633"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Пандемијата</w:t>
      </w:r>
      <w:r w:rsidR="00E003C4" w:rsidRPr="00C9671E">
        <w:rPr>
          <w:rFonts w:ascii="Times New Roman" w:hAnsi="Times New Roman" w:cs="Times New Roman"/>
          <w:sz w:val="24"/>
        </w:rPr>
        <w:t xml:space="preserve"> </w:t>
      </w:r>
      <w:r w:rsidR="00955633"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причина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карактер.</w:t>
      </w:r>
      <w:r w:rsidR="00E003C4" w:rsidRPr="00C9671E">
        <w:rPr>
          <w:rFonts w:ascii="Times New Roman" w:hAnsi="Times New Roman" w:cs="Times New Roman"/>
          <w:sz w:val="24"/>
        </w:rPr>
        <w:t xml:space="preserve"> </w:t>
      </w:r>
    </w:p>
    <w:p w14:paraId="39262076"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опфаќа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правото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граѓаните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добра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прегледи.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дел</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засноваат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процедурални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размислувања,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комбинација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обесхрабрува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ретко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одлучуваше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им</w:t>
      </w:r>
      <w:r w:rsidR="00E003C4" w:rsidRPr="00C9671E">
        <w:rPr>
          <w:rFonts w:ascii="Times New Roman" w:hAnsi="Times New Roman" w:cs="Times New Roman"/>
          <w:sz w:val="24"/>
        </w:rPr>
        <w:t xml:space="preserve"> </w:t>
      </w:r>
      <w:r w:rsidRPr="00C9671E">
        <w:rPr>
          <w:rFonts w:ascii="Times New Roman" w:hAnsi="Times New Roman" w:cs="Times New Roman"/>
          <w:sz w:val="24"/>
        </w:rPr>
        <w:t>дава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право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граѓаните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да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бараат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надоместок</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штета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пропишува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доделија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надоместок</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осум</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p>
    <w:p w14:paraId="06B80EDC" w14:textId="77777777" w:rsidR="00131338" w:rsidRPr="00C9671E" w:rsidRDefault="00131338" w:rsidP="006E0C51">
      <w:pPr>
        <w:keepNext/>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Обезбедување</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услуги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за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граѓаните</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деловните</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субјекти</w:t>
      </w:r>
    </w:p>
    <w:p w14:paraId="5E1EC60B" w14:textId="77777777" w:rsidR="00131338" w:rsidRPr="00C9671E" w:rsidRDefault="00131338" w:rsidP="006E0C51">
      <w:pPr>
        <w:autoSpaceDE w:val="0"/>
        <w:autoSpaceDN w:val="0"/>
        <w:adjustRightInd w:val="0"/>
        <w:spacing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rPr>
        <w:t>Повеќето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административни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граѓаните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деловните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субјекти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нудат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офлајн</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онлајн</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преку</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националниот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е-портал</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вклучувајќи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капацитети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лица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посебни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потреби.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вложуваат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напори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надградба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е-порталот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воведување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135</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нови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обид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развие</w:t>
      </w:r>
      <w:r w:rsidR="00E003C4" w:rsidRPr="00C9671E">
        <w:rPr>
          <w:rFonts w:ascii="Times New Roman" w:hAnsi="Times New Roman" w:cs="Times New Roman"/>
          <w:color w:val="000000"/>
          <w:sz w:val="24"/>
        </w:rPr>
        <w:t xml:space="preserve"> </w:t>
      </w:r>
      <w:r w:rsidR="00C83C0A" w:rsidRPr="00C9671E">
        <w:rPr>
          <w:rFonts w:ascii="Times New Roman" w:hAnsi="Times New Roman" w:cs="Times New Roman"/>
          <w:b/>
          <w:color w:val="000000"/>
          <w:sz w:val="24"/>
        </w:rPr>
        <w:t>испорака</w:t>
      </w:r>
      <w:r w:rsidR="00E003C4" w:rsidRPr="00C9671E">
        <w:rPr>
          <w:rFonts w:ascii="Times New Roman" w:hAnsi="Times New Roman" w:cs="Times New Roman"/>
          <w:b/>
          <w:color w:val="000000"/>
          <w:sz w:val="24"/>
        </w:rPr>
        <w:t xml:space="preserve"> </w:t>
      </w:r>
      <w:r w:rsidR="00C83C0A" w:rsidRPr="00C9671E">
        <w:rPr>
          <w:rFonts w:ascii="Times New Roman" w:hAnsi="Times New Roman" w:cs="Times New Roman"/>
          <w:b/>
          <w:color w:val="000000"/>
          <w:sz w:val="24"/>
        </w:rPr>
        <w:t>на</w:t>
      </w:r>
      <w:r w:rsidR="00E003C4" w:rsidRPr="00C9671E">
        <w:rPr>
          <w:rFonts w:ascii="Times New Roman" w:hAnsi="Times New Roman" w:cs="Times New Roman"/>
          <w:b/>
          <w:color w:val="000000"/>
          <w:sz w:val="24"/>
        </w:rPr>
        <w:t xml:space="preserve"> </w:t>
      </w:r>
      <w:r w:rsidR="00C83C0A" w:rsidRPr="00C9671E">
        <w:rPr>
          <w:rFonts w:ascii="Times New Roman" w:hAnsi="Times New Roman" w:cs="Times New Roman"/>
          <w:b/>
          <w:color w:val="000000"/>
          <w:sz w:val="24"/>
        </w:rPr>
        <w:t>услуги</w:t>
      </w:r>
      <w:r w:rsidR="00E003C4" w:rsidRPr="00C9671E">
        <w:rPr>
          <w:rFonts w:ascii="Times New Roman" w:hAnsi="Times New Roman" w:cs="Times New Roman"/>
          <w:b/>
          <w:color w:val="000000"/>
          <w:sz w:val="24"/>
        </w:rPr>
        <w:t xml:space="preserve"> </w:t>
      </w:r>
      <w:r w:rsidR="00C83C0A" w:rsidRPr="00C9671E">
        <w:rPr>
          <w:rFonts w:ascii="Times New Roman" w:hAnsi="Times New Roman" w:cs="Times New Roman"/>
          <w:b/>
          <w:color w:val="000000"/>
          <w:sz w:val="24"/>
        </w:rPr>
        <w:t>ориентирани</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кон</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корисниците</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Бројот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регистрирани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корисници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завршени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порталот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зголеми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останува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очекувањата.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Државните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институции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нудат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граѓаните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покажат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поголема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посветеност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давање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услуги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преку</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е-порталот.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Регистарот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населението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користеше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вкрстена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проверка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податоците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пописот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2021</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година.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Квалитетот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податоците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регистарот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треба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подобри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бидејќи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користи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главен</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регистар</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земјата.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Владата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охрабри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државни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институции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да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користат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рамката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интероперабилност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најголема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можна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мера.</w:t>
      </w:r>
    </w:p>
    <w:p w14:paraId="5DA06FB5" w14:textId="77777777" w:rsidR="00131338" w:rsidRPr="00C9671E" w:rsidRDefault="00131338" w:rsidP="00746647">
      <w:pPr>
        <w:autoSpaceDE w:val="0"/>
        <w:autoSpaceDN w:val="0"/>
        <w:adjustRightInd w:val="0"/>
        <w:spacing w:after="120" w:line="240" w:lineRule="auto"/>
        <w:jc w:val="both"/>
        <w:rPr>
          <w:rFonts w:ascii="Times New Roman" w:hAnsi="Times New Roman" w:cs="Times New Roman"/>
          <w:color w:val="000000"/>
          <w:sz w:val="24"/>
        </w:rPr>
      </w:pPr>
      <w:r w:rsidRPr="00C9671E">
        <w:rPr>
          <w:rFonts w:ascii="Times New Roman" w:hAnsi="Times New Roman" w:cs="Times New Roman"/>
          <w:color w:val="000000"/>
          <w:sz w:val="24"/>
        </w:rPr>
        <w:lastRenderedPageBreak/>
        <w:t>Северна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Македонија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направи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напредок</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b/>
          <w:color w:val="000000"/>
          <w:sz w:val="24"/>
        </w:rPr>
        <w:t>поедноставување</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на</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административните</w:t>
      </w:r>
      <w:r w:rsidR="00E003C4" w:rsidRPr="00C9671E">
        <w:rPr>
          <w:rFonts w:ascii="Times New Roman" w:hAnsi="Times New Roman" w:cs="Times New Roman"/>
          <w:b/>
          <w:color w:val="000000"/>
          <w:sz w:val="24"/>
        </w:rPr>
        <w:t xml:space="preserve"> </w:t>
      </w:r>
      <w:r w:rsidRPr="00C9671E">
        <w:rPr>
          <w:rFonts w:ascii="Times New Roman" w:hAnsi="Times New Roman" w:cs="Times New Roman"/>
          <w:b/>
          <w:color w:val="000000"/>
          <w:sz w:val="24"/>
        </w:rPr>
        <w:t>п</w:t>
      </w:r>
      <w:r w:rsidR="00C83C0A" w:rsidRPr="00C9671E">
        <w:rPr>
          <w:rFonts w:ascii="Times New Roman" w:hAnsi="Times New Roman" w:cs="Times New Roman"/>
          <w:b/>
          <w:color w:val="000000"/>
          <w:sz w:val="24"/>
        </w:rPr>
        <w:t>остапки</w:t>
      </w:r>
      <w:r w:rsidRPr="00C9671E">
        <w:rPr>
          <w:rFonts w:ascii="Times New Roman" w:hAnsi="Times New Roman" w:cs="Times New Roman"/>
          <w:color w:val="000000"/>
          <w:sz w:val="24"/>
        </w:rPr>
        <w:t>.</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Законот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за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општата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управна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постапка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сè</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уште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спроведува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систематски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во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администрацијата.</w:t>
      </w:r>
    </w:p>
    <w:p w14:paraId="6EEA592E" w14:textId="77777777" w:rsidR="001602DC" w:rsidRPr="00C9671E" w:rsidRDefault="001602DC" w:rsidP="0012222D">
      <w:pPr>
        <w:pStyle w:val="Heading2"/>
        <w:spacing w:before="0"/>
      </w:pPr>
      <w:bookmarkStart w:id="52" w:name="_Toc51252765"/>
      <w:bookmarkStart w:id="53" w:name="_Toc9430342"/>
      <w:bookmarkStart w:id="54" w:name="_Toc84329767"/>
      <w:bookmarkStart w:id="55" w:name="_Toc84631569"/>
      <w:bookmarkStart w:id="56" w:name="_Toc115619779"/>
      <w:bookmarkStart w:id="57" w:name="_Toc117004150"/>
      <w:r w:rsidRPr="00C9671E">
        <w:t>2.2.</w:t>
      </w:r>
      <w:r w:rsidRPr="00C9671E">
        <w:tab/>
        <w:t>Владеење</w:t>
      </w:r>
      <w:r w:rsidR="00E003C4" w:rsidRPr="00C9671E">
        <w:t xml:space="preserve"> </w:t>
      </w:r>
      <w:r w:rsidRPr="00C9671E">
        <w:t>на</w:t>
      </w:r>
      <w:r w:rsidR="00E003C4" w:rsidRPr="00C9671E">
        <w:t xml:space="preserve"> </w:t>
      </w:r>
      <w:r w:rsidRPr="00C9671E">
        <w:t>правото</w:t>
      </w:r>
      <w:r w:rsidR="00E003C4" w:rsidRPr="00C9671E">
        <w:t xml:space="preserve"> </w:t>
      </w:r>
      <w:r w:rsidRPr="00C9671E">
        <w:t>и</w:t>
      </w:r>
      <w:r w:rsidR="00E003C4" w:rsidRPr="00C9671E">
        <w:t xml:space="preserve"> </w:t>
      </w:r>
      <w:r w:rsidRPr="00C9671E">
        <w:t>фундаментални</w:t>
      </w:r>
      <w:r w:rsidR="00E003C4" w:rsidRPr="00C9671E">
        <w:t xml:space="preserve"> </w:t>
      </w:r>
      <w:r w:rsidRPr="00C9671E">
        <w:t>права</w:t>
      </w:r>
      <w:bookmarkEnd w:id="52"/>
      <w:bookmarkEnd w:id="53"/>
      <w:bookmarkEnd w:id="54"/>
      <w:bookmarkEnd w:id="55"/>
      <w:bookmarkEnd w:id="56"/>
      <w:bookmarkEnd w:id="57"/>
    </w:p>
    <w:p w14:paraId="2F6C1F2A" w14:textId="77777777" w:rsidR="001602DC" w:rsidRPr="00C9671E" w:rsidRDefault="001602DC" w:rsidP="0012222D">
      <w:pPr>
        <w:pStyle w:val="Heading3"/>
        <w:spacing w:before="0"/>
      </w:pPr>
      <w:bookmarkStart w:id="58" w:name="_Toc51252766"/>
      <w:bookmarkStart w:id="59" w:name="_Toc9430343"/>
      <w:bookmarkStart w:id="60" w:name="_Toc84329768"/>
      <w:bookmarkStart w:id="61" w:name="_Toc84631570"/>
      <w:bookmarkStart w:id="62" w:name="_Toc115619780"/>
      <w:bookmarkStart w:id="63" w:name="_Toc117004151"/>
      <w:r w:rsidRPr="00C9671E">
        <w:t>2.2.1</w:t>
      </w:r>
      <w:r w:rsidRPr="00C9671E">
        <w:tab/>
        <w:t>Поглавје</w:t>
      </w:r>
      <w:r w:rsidR="00E003C4" w:rsidRPr="00C9671E">
        <w:t xml:space="preserve"> </w:t>
      </w:r>
      <w:r w:rsidRPr="00C9671E">
        <w:t>23:</w:t>
      </w:r>
      <w:r w:rsidR="00E003C4" w:rsidRPr="00C9671E">
        <w:t xml:space="preserve"> </w:t>
      </w:r>
      <w:r w:rsidRPr="00C9671E">
        <w:t>Правосудство</w:t>
      </w:r>
      <w:r w:rsidR="00E003C4" w:rsidRPr="00C9671E">
        <w:t xml:space="preserve"> </w:t>
      </w:r>
      <w:r w:rsidRPr="00C9671E">
        <w:t>и</w:t>
      </w:r>
      <w:r w:rsidR="00E003C4" w:rsidRPr="00C9671E">
        <w:t xml:space="preserve"> </w:t>
      </w:r>
      <w:r w:rsidRPr="00C9671E">
        <w:t>фундаментални</w:t>
      </w:r>
      <w:r w:rsidR="00E003C4" w:rsidRPr="00C9671E">
        <w:t xml:space="preserve"> </w:t>
      </w:r>
      <w:r w:rsidRPr="00C9671E">
        <w:t>права</w:t>
      </w:r>
      <w:bookmarkEnd w:id="58"/>
      <w:bookmarkEnd w:id="59"/>
      <w:bookmarkEnd w:id="60"/>
      <w:bookmarkEnd w:id="61"/>
      <w:bookmarkEnd w:id="62"/>
      <w:bookmarkEnd w:id="63"/>
    </w:p>
    <w:p w14:paraId="61F465FF" w14:textId="77777777" w:rsidR="001602DC" w:rsidRPr="00C9671E" w:rsidRDefault="001602DC" w:rsidP="0012222D">
      <w:pPr>
        <w:keepNext/>
        <w:widowControl w:val="0"/>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sz w:val="24"/>
        </w:rPr>
        <w:t>Основните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вредности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ЕУ</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вклучуваат</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владеење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правото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почитување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човековите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Од</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огромно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значење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се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постоењето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ефективен</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(независен,</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висококвалитетен</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ефикасен)</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правосуден</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систем</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ефикасната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борба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против</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корупцијата,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бидејќи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тоа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почитувањето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фундаменталните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права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во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закон</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во</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практика.</w:t>
      </w:r>
      <w:r w:rsidR="00E003C4" w:rsidRPr="00C9671E">
        <w:rPr>
          <w:rFonts w:ascii="Times New Roman" w:hAnsi="Times New Roman" w:cs="Times New Roman"/>
          <w:i/>
          <w:sz w:val="24"/>
        </w:rPr>
        <w:t xml:space="preserve"> </w:t>
      </w:r>
    </w:p>
    <w:p w14:paraId="77F9DC5F" w14:textId="77777777"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постигна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одреден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степен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подготвеност/е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умерено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примени</w:t>
      </w:r>
      <w:r w:rsidR="00E003C4" w:rsidRPr="00C9671E">
        <w:rPr>
          <w:rFonts w:ascii="Times New Roman" w:hAnsi="Times New Roman" w:cs="Times New Roman"/>
          <w:sz w:val="24"/>
        </w:rPr>
        <w:t xml:space="preserve"> </w:t>
      </w:r>
      <w:r w:rsidRPr="00C9671E">
        <w:rPr>
          <w:rFonts w:ascii="Times New Roman" w:hAnsi="Times New Roman" w:cs="Times New Roman"/>
          <w:i/>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оваа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Севкупно,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одреден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напредок</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подготовка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доследно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дела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произлегуваат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незаконските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прислушувања.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распространета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многу</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области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загриженост.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понатаму</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исполнува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фундаменталните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предизвици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Зголемениот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ангажира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кадар,</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суштинско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одолговлеченото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регулаторни</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човекови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28572D"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загарантирана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секое</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доволни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им</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Ситуацијата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драматична.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најголема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итност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решенија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подобрат</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изразување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плуралистичките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ставови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предизвиците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натамошни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разработена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чинители.</w:t>
      </w:r>
    </w:p>
    <w:p w14:paraId="47882890" w14:textId="77777777" w:rsidR="001602DC" w:rsidRPr="00C9671E" w:rsidRDefault="001602DC" w:rsidP="0012222D">
      <w:pPr>
        <w:spacing w:after="120" w:line="240" w:lineRule="auto"/>
        <w:jc w:val="both"/>
        <w:rPr>
          <w:rFonts w:ascii="Times New Roman" w:hAnsi="Times New Roman" w:cs="Times New Roman"/>
          <w:b/>
          <w:sz w:val="24"/>
          <w:szCs w:val="24"/>
        </w:rPr>
      </w:pPr>
      <w:r w:rsidRPr="00C9671E">
        <w:rPr>
          <w:rFonts w:ascii="Times New Roman" w:hAnsi="Times New Roman" w:cs="Times New Roman"/>
          <w:b/>
          <w:sz w:val="24"/>
        </w:rPr>
        <w:t>Функционирање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правосудството</w:t>
      </w:r>
      <w:r w:rsidR="00E003C4" w:rsidRPr="00C9671E">
        <w:rPr>
          <w:rFonts w:ascii="Times New Roman" w:hAnsi="Times New Roman" w:cs="Times New Roman"/>
          <w:b/>
          <w:sz w:val="24"/>
        </w:rPr>
        <w:t xml:space="preserve"> </w:t>
      </w:r>
    </w:p>
    <w:p w14:paraId="4D89067C" w14:textId="77777777"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одреден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степен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подготвеност/е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умерено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стабилно</w:t>
      </w:r>
      <w:r w:rsidR="0028572D" w:rsidRPr="00C9671E">
        <w:rPr>
          <w:rFonts w:ascii="Times New Roman" w:hAnsi="Times New Roman" w:cs="Times New Roman"/>
          <w:sz w:val="24"/>
        </w:rPr>
        <w:t>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Венецијанската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експертска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владеењето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подготовката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инклузивен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начин,</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засновајќи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поуките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извлечени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ажурираниот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28572D"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посистематско.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покажа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заложба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Темпото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доследно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спроведуваат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унапредување,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дисциплина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разрешување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Унапредувањата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наидоа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одлагање,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пензионирања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w:t>
      </w:r>
      <w:r w:rsidR="004E56AC" w:rsidRPr="00C9671E">
        <w:rPr>
          <w:rFonts w:ascii="Times New Roman" w:hAnsi="Times New Roman" w:cs="Times New Roman"/>
          <w:sz w:val="24"/>
        </w:rPr>
        <w:t>гис</w:t>
      </w:r>
      <w:r w:rsidRPr="00C9671E">
        <w:rPr>
          <w:rFonts w:ascii="Times New Roman" w:hAnsi="Times New Roman" w:cs="Times New Roman"/>
          <w:sz w:val="24"/>
        </w:rPr>
        <w:t>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предлог-закон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единствена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ажурирање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софтверскиот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движењето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автоматска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случајна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00E53F9E" w:rsidRPr="00C9671E">
        <w:rPr>
          <w:rFonts w:ascii="Times New Roman" w:hAnsi="Times New Roman" w:cs="Times New Roman"/>
          <w:sz w:val="24"/>
        </w:rPr>
        <w:t>И</w:t>
      </w:r>
      <w:r w:rsidRPr="00C9671E">
        <w:rPr>
          <w:rFonts w:ascii="Times New Roman" w:hAnsi="Times New Roman" w:cs="Times New Roman"/>
          <w:sz w:val="24"/>
        </w:rPr>
        <w:t>нформациски</w:t>
      </w:r>
      <w:r w:rsidR="00D93590" w:rsidRPr="00C9671E">
        <w:rPr>
          <w:rFonts w:ascii="Times New Roman" w:hAnsi="Times New Roman" w:cs="Times New Roman"/>
          <w:sz w:val="24"/>
        </w:rPr>
        <w:t>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D93590" w:rsidRPr="00C9671E">
        <w:rPr>
          <w:rFonts w:ascii="Times New Roman" w:hAnsi="Times New Roman" w:cs="Times New Roman"/>
          <w:sz w:val="24"/>
        </w:rPr>
        <w:t>автоматско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(АКМИС).</w:t>
      </w:r>
    </w:p>
    <w:p w14:paraId="1CCAABA6" w14:textId="77777777"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наредната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треба:</w:t>
      </w:r>
    </w:p>
    <w:p w14:paraId="2627C8A9"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ажурираниот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посебен</w:t>
      </w:r>
      <w:r w:rsidR="00E003C4" w:rsidRPr="00C9671E">
        <w:rPr>
          <w:rFonts w:ascii="Times New Roman" w:hAnsi="Times New Roman" w:cs="Times New Roman"/>
          <w:sz w:val="24"/>
        </w:rPr>
        <w:t xml:space="preserve"> </w:t>
      </w:r>
      <w:r w:rsidRPr="00C9671E">
        <w:rPr>
          <w:rFonts w:ascii="Times New Roman" w:hAnsi="Times New Roman" w:cs="Times New Roman"/>
          <w:sz w:val="24"/>
        </w:rPr>
        <w:t>фокус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подготовката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2023</w:t>
      </w:r>
      <w:r w:rsidR="00E003C4" w:rsidRPr="00C9671E">
        <w:rPr>
          <w:rFonts w:ascii="Times New Roman" w:hAnsi="Times New Roman" w:cs="Times New Roman"/>
          <w:sz w:val="24"/>
        </w:rPr>
        <w:t xml:space="preserve"> </w:t>
      </w:r>
      <w:r w:rsidR="004E56A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одлагање;</w:t>
      </w:r>
    </w:p>
    <w:p w14:paraId="5F49CE90"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4E56AC" w:rsidRPr="00C9671E">
        <w:rPr>
          <w:rFonts w:ascii="Times New Roman" w:hAnsi="Times New Roman" w:cs="Times New Roman"/>
          <w:sz w:val="24"/>
        </w:rPr>
        <w:t>в</w:t>
      </w:r>
      <w:r w:rsidRPr="00C9671E">
        <w:rPr>
          <w:rFonts w:ascii="Times New Roman" w:hAnsi="Times New Roman" w:cs="Times New Roman"/>
          <w:sz w:val="24"/>
        </w:rPr>
        <w:t>нообвинителска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мрежа,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користи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показател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предвидува</w:t>
      </w:r>
      <w:r w:rsidR="00823DC0" w:rsidRPr="00C9671E">
        <w:rPr>
          <w:rFonts w:ascii="Times New Roman" w:hAnsi="Times New Roman" w:cs="Times New Roman"/>
          <w:sz w:val="24"/>
        </w:rPr>
        <w:t>ње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претстојните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вработувања;</w:t>
      </w:r>
    </w:p>
    <w:p w14:paraId="2D865BFB"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распореди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неопходни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00E53F9E" w:rsidRPr="00C9671E">
        <w:rPr>
          <w:rFonts w:ascii="Times New Roman" w:hAnsi="Times New Roman" w:cs="Times New Roman"/>
          <w:sz w:val="24"/>
        </w:rPr>
        <w:t>И</w:t>
      </w:r>
      <w:r w:rsidRPr="00C9671E">
        <w:rPr>
          <w:rFonts w:ascii="Times New Roman" w:hAnsi="Times New Roman" w:cs="Times New Roman"/>
          <w:sz w:val="24"/>
        </w:rPr>
        <w:t>нформациски</w:t>
      </w:r>
      <w:r w:rsidR="00D93590" w:rsidRPr="00C9671E">
        <w:rPr>
          <w:rFonts w:ascii="Times New Roman" w:hAnsi="Times New Roman" w:cs="Times New Roman"/>
          <w:sz w:val="24"/>
        </w:rPr>
        <w:t>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D93590" w:rsidRPr="00C9671E">
        <w:rPr>
          <w:rFonts w:ascii="Times New Roman" w:hAnsi="Times New Roman" w:cs="Times New Roman"/>
          <w:sz w:val="24"/>
        </w:rPr>
        <w:t>автоматско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(АКМИС)</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компатибилен</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сложеност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оценување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претседатели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судови.</w:t>
      </w:r>
    </w:p>
    <w:p w14:paraId="168374B8"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Страте</w:t>
      </w:r>
      <w:r w:rsidR="00C82275" w:rsidRPr="00C9671E">
        <w:rPr>
          <w:rFonts w:ascii="Times New Roman" w:hAnsi="Times New Roman" w:cs="Times New Roman"/>
          <w:sz w:val="24"/>
          <w:u w:val="single"/>
        </w:rPr>
        <w:t>гис</w:t>
      </w:r>
      <w:r w:rsidRPr="00C9671E">
        <w:rPr>
          <w:rFonts w:ascii="Times New Roman" w:hAnsi="Times New Roman" w:cs="Times New Roman"/>
          <w:sz w:val="24"/>
          <w:u w:val="single"/>
        </w:rPr>
        <w:t>ки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документи</w:t>
      </w:r>
    </w:p>
    <w:p w14:paraId="4C2163BA"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стратегијата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реформа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правосудниот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(2017</w:t>
      </w:r>
      <w:r w:rsidR="00E003C4" w:rsidRPr="00C9671E">
        <w:rPr>
          <w:rFonts w:ascii="Times New Roman" w:hAnsi="Times New Roman" w:cs="Times New Roman"/>
          <w:sz w:val="24"/>
        </w:rPr>
        <w:t xml:space="preserve"> </w:t>
      </w:r>
      <w:r w:rsidR="00C82275"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3E6263" w:rsidRPr="00C9671E">
        <w:rPr>
          <w:rFonts w:ascii="Times New Roman" w:hAnsi="Times New Roman" w:cs="Times New Roman"/>
          <w:sz w:val="24"/>
        </w:rPr>
        <w:t>година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фаза,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оцена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Наодите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оваа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ќе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вклопат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подготовката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периодот</w:t>
      </w:r>
      <w:r w:rsidR="00E003C4" w:rsidRPr="00C9671E">
        <w:rPr>
          <w:rFonts w:ascii="Times New Roman" w:hAnsi="Times New Roman" w:cs="Times New Roman"/>
          <w:sz w:val="24"/>
        </w:rPr>
        <w:t xml:space="preserve"> </w:t>
      </w:r>
      <w:r w:rsidRPr="00C9671E">
        <w:rPr>
          <w:rFonts w:ascii="Times New Roman" w:hAnsi="Times New Roman" w:cs="Times New Roman"/>
          <w:sz w:val="24"/>
        </w:rPr>
        <w:t>2023</w:t>
      </w:r>
      <w:r w:rsidR="00E003C4" w:rsidRPr="00C9671E">
        <w:rPr>
          <w:rFonts w:ascii="Times New Roman" w:hAnsi="Times New Roman" w:cs="Times New Roman"/>
          <w:sz w:val="24"/>
        </w:rPr>
        <w:t xml:space="preserve"> </w:t>
      </w:r>
      <w:r w:rsidR="00C82275"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2027</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реформата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двапати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предлог-закон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влегување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w:t>
      </w:r>
      <w:r w:rsidR="00823DC0" w:rsidRPr="00C9671E">
        <w:rPr>
          <w:rFonts w:ascii="Times New Roman" w:hAnsi="Times New Roman" w:cs="Times New Roman"/>
          <w:sz w:val="24"/>
        </w:rPr>
        <w:t>ите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обвинителства.</w:t>
      </w:r>
    </w:p>
    <w:p w14:paraId="37FBA8D8"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Раководни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тела</w:t>
      </w:r>
    </w:p>
    <w:p w14:paraId="4C892AE1"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Судскиот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совет</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квалитативни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кандидатите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повисоките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тројца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заменија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засегнати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пензионирања.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сложеноста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анализа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индикативниот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месец.</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00C82275"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00C82275"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чувар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непристрасноста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транспарентност.</w:t>
      </w:r>
    </w:p>
    <w:p w14:paraId="453ECD5C"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Советот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обвинители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пензионирања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засегнаа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вкупно</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образложение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редовен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медиумите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секогаш</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ограничениот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простор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воспоставените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ограничувања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КОВИД-19.</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371.000</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му</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недостига</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доволен</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кадар</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ИТ</w:t>
      </w:r>
      <w:r w:rsidR="00494A6A" w:rsidRPr="00C9671E">
        <w:rPr>
          <w:rFonts w:ascii="Times New Roman" w:hAnsi="Times New Roman" w:cs="Times New Roman"/>
          <w:sz w:val="24"/>
        </w:rPr>
        <w:t>-</w:t>
      </w:r>
      <w:r w:rsidR="0012222D"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задачи.</w:t>
      </w:r>
    </w:p>
    <w:p w14:paraId="1559112D" w14:textId="77777777" w:rsidR="001602DC" w:rsidRPr="00C9671E" w:rsidRDefault="00823DC0"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Независност</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непристрасност</w:t>
      </w:r>
    </w:p>
    <w:p w14:paraId="14F49B28"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Судската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загарантирана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Уставот.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практичарите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(ОГО)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реагираа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предложеното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повторно</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владината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коалициски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партнер.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двата</w:t>
      </w:r>
      <w:r w:rsidR="00E003C4" w:rsidRPr="00C9671E">
        <w:rPr>
          <w:rFonts w:ascii="Times New Roman" w:hAnsi="Times New Roman" w:cs="Times New Roman"/>
          <w:sz w:val="24"/>
        </w:rPr>
        <w:t xml:space="preserve"> </w:t>
      </w:r>
      <w:r w:rsidR="00C82275" w:rsidRPr="00C9671E">
        <w:rPr>
          <w:rFonts w:ascii="Times New Roman" w:hAnsi="Times New Roman" w:cs="Times New Roman"/>
          <w:sz w:val="24"/>
        </w:rPr>
        <w:t>с</w:t>
      </w:r>
      <w:r w:rsidRPr="00C9671E">
        <w:rPr>
          <w:rFonts w:ascii="Times New Roman" w:hAnsi="Times New Roman" w:cs="Times New Roman"/>
          <w:sz w:val="24"/>
        </w:rPr>
        <w:t>овета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определбата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почитување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начелото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двата</w:t>
      </w:r>
      <w:r w:rsidR="00E003C4" w:rsidRPr="00C9671E">
        <w:rPr>
          <w:rFonts w:ascii="Times New Roman" w:hAnsi="Times New Roman" w:cs="Times New Roman"/>
          <w:sz w:val="24"/>
        </w:rPr>
        <w:t xml:space="preserve"> </w:t>
      </w:r>
      <w:r w:rsidR="00C82275" w:rsidRPr="00C9671E">
        <w:rPr>
          <w:rFonts w:ascii="Times New Roman" w:hAnsi="Times New Roman" w:cs="Times New Roman"/>
          <w:sz w:val="24"/>
        </w:rPr>
        <w:t>с</w:t>
      </w:r>
      <w:r w:rsidRPr="00C9671E">
        <w:rPr>
          <w:rFonts w:ascii="Times New Roman" w:hAnsi="Times New Roman" w:cs="Times New Roman"/>
          <w:sz w:val="24"/>
        </w:rPr>
        <w:t>овета.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каков</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било</w:t>
      </w:r>
      <w:r w:rsidR="00E003C4" w:rsidRPr="00C9671E">
        <w:rPr>
          <w:rFonts w:ascii="Times New Roman" w:hAnsi="Times New Roman" w:cs="Times New Roman"/>
          <w:sz w:val="24"/>
        </w:rPr>
        <w:t xml:space="preserve"> </w:t>
      </w:r>
      <w:r w:rsidRPr="00C9671E">
        <w:rPr>
          <w:rFonts w:ascii="Times New Roman" w:hAnsi="Times New Roman" w:cs="Times New Roman"/>
          <w:sz w:val="24"/>
        </w:rPr>
        <w:t>ризик</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перцепција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несоодветно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Декларацијата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потпишана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12</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ОГО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здруженија,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предводени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подобрат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довербата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w:t>
      </w:r>
      <w:r w:rsidR="00823DC0" w:rsidRPr="00C9671E">
        <w:rPr>
          <w:rFonts w:ascii="Times New Roman" w:hAnsi="Times New Roman" w:cs="Times New Roman"/>
          <w:sz w:val="24"/>
        </w:rPr>
        <w:t>авноста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правосудството.</w:t>
      </w:r>
    </w:p>
    <w:p w14:paraId="06F0FCAA"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Софтверскиот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чија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движењето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автоматска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случајна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00E53F9E" w:rsidRPr="00C9671E">
        <w:rPr>
          <w:rFonts w:ascii="Times New Roman" w:hAnsi="Times New Roman" w:cs="Times New Roman"/>
          <w:b/>
          <w:sz w:val="24"/>
        </w:rPr>
        <w:t>И</w:t>
      </w:r>
      <w:r w:rsidRPr="00C9671E">
        <w:rPr>
          <w:rFonts w:ascii="Times New Roman" w:hAnsi="Times New Roman" w:cs="Times New Roman"/>
          <w:b/>
          <w:sz w:val="24"/>
        </w:rPr>
        <w:t>нформациски</w:t>
      </w:r>
      <w:r w:rsidR="00D93590" w:rsidRPr="00C9671E">
        <w:rPr>
          <w:rFonts w:ascii="Times New Roman" w:hAnsi="Times New Roman" w:cs="Times New Roman"/>
          <w:b/>
          <w:sz w:val="24"/>
        </w:rPr>
        <w:t>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систем</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00D93590" w:rsidRPr="00C9671E">
        <w:rPr>
          <w:rFonts w:ascii="Times New Roman" w:hAnsi="Times New Roman" w:cs="Times New Roman"/>
          <w:b/>
          <w:sz w:val="24"/>
        </w:rPr>
        <w:t>автоматско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управување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судски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предмети</w:t>
      </w:r>
      <w:r w:rsidR="00E003C4" w:rsidRPr="00C9671E">
        <w:rPr>
          <w:rFonts w:ascii="Times New Roman" w:hAnsi="Times New Roman" w:cs="Times New Roman"/>
          <w:b/>
          <w:sz w:val="24"/>
        </w:rPr>
        <w:t xml:space="preserve"> </w:t>
      </w:r>
      <w:r w:rsidRPr="00C9671E">
        <w:rPr>
          <w:rFonts w:ascii="Times New Roman" w:hAnsi="Times New Roman" w:cs="Times New Roman"/>
          <w:sz w:val="24"/>
        </w:rPr>
        <w:t>(АКМИС)</w:t>
      </w:r>
      <w:r w:rsidR="00C82275"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надградува.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веродостојни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статистички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методологијата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(CEPEJ)</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обвинителството.</w:t>
      </w:r>
    </w:p>
    <w:p w14:paraId="6619C2E6"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Отчетност</w:t>
      </w:r>
    </w:p>
    <w:p w14:paraId="0556D3CA"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Советодавното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етика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Здружението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четирипати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мислења.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2022/23</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опфаќа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предавања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етика,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деловна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култура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деонтологија.</w:t>
      </w:r>
    </w:p>
    <w:p w14:paraId="6F07A4E0"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прими</w:t>
      </w:r>
      <w:r w:rsidR="00E003C4" w:rsidRPr="00C9671E">
        <w:rPr>
          <w:rFonts w:ascii="Times New Roman" w:hAnsi="Times New Roman" w:cs="Times New Roman"/>
          <w:sz w:val="24"/>
        </w:rPr>
        <w:t xml:space="preserve"> </w:t>
      </w:r>
      <w:r w:rsidRPr="00C9671E">
        <w:rPr>
          <w:rFonts w:ascii="Times New Roman" w:hAnsi="Times New Roman" w:cs="Times New Roman"/>
          <w:sz w:val="24"/>
        </w:rPr>
        <w:t>142</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w:t>
      </w:r>
      <w:r w:rsidR="00E003C4" w:rsidRPr="00C9671E">
        <w:rPr>
          <w:rFonts w:ascii="Times New Roman" w:hAnsi="Times New Roman" w:cs="Times New Roman"/>
          <w:sz w:val="24"/>
        </w:rPr>
        <w:t xml:space="preserve"> </w:t>
      </w:r>
      <w:r w:rsidRPr="00C9671E">
        <w:rPr>
          <w:rFonts w:ascii="Times New Roman" w:hAnsi="Times New Roman" w:cs="Times New Roman"/>
          <w:sz w:val="24"/>
        </w:rPr>
        <w:t>отколку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разреши</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разрешување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Причините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разрешувања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најчесто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непрофесионално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работење.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писмена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парично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судија.</w:t>
      </w:r>
    </w:p>
    <w:p w14:paraId="134D23EF"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lastRenderedPageBreak/>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прекршочни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неподнесување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анкетни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листови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изјави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состојба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интересите.</w:t>
      </w:r>
    </w:p>
    <w:p w14:paraId="1168335C"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Стручност</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и</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компетентност</w:t>
      </w:r>
      <w:r w:rsidR="00E003C4" w:rsidRPr="00C9671E">
        <w:rPr>
          <w:rFonts w:ascii="Times New Roman" w:hAnsi="Times New Roman" w:cs="Times New Roman"/>
          <w:sz w:val="24"/>
          <w:u w:val="single"/>
        </w:rPr>
        <w:t xml:space="preserve"> </w:t>
      </w:r>
    </w:p>
    <w:p w14:paraId="6587185A"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методологија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професионално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оценување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именувањата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унапредувањата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97</w:t>
      </w:r>
      <w:r w:rsidR="00E003C4" w:rsidRPr="00C9671E">
        <w:rPr>
          <w:rFonts w:ascii="Times New Roman" w:hAnsi="Times New Roman" w:cs="Times New Roman"/>
          <w:sz w:val="24"/>
        </w:rPr>
        <w:t xml:space="preserve"> </w:t>
      </w:r>
      <w:r w:rsidRPr="00C9671E">
        <w:rPr>
          <w:rFonts w:ascii="Times New Roman" w:hAnsi="Times New Roman" w:cs="Times New Roman"/>
          <w:sz w:val="24"/>
        </w:rPr>
        <w:t>кандидати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пензионирање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тројца</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одложи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помалите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градови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тешко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пополнат.</w:t>
      </w:r>
    </w:p>
    <w:p w14:paraId="0ABE1CED"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назначи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(ЈОГОКК)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назначи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двајца</w:t>
      </w:r>
      <w:r w:rsidR="00E003C4" w:rsidRPr="00C9671E">
        <w:rPr>
          <w:rFonts w:ascii="Times New Roman" w:hAnsi="Times New Roman" w:cs="Times New Roman"/>
          <w:sz w:val="24"/>
        </w:rPr>
        <w:t xml:space="preserve"> </w:t>
      </w:r>
      <w:r w:rsidRPr="00C9671E">
        <w:rPr>
          <w:rFonts w:ascii="Times New Roman" w:hAnsi="Times New Roman" w:cs="Times New Roman"/>
          <w:sz w:val="24"/>
        </w:rPr>
        <w:t>шефови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47</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место</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учествуваа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вкупно</w:t>
      </w:r>
      <w:r w:rsidR="00E003C4" w:rsidRPr="00C9671E">
        <w:rPr>
          <w:rFonts w:ascii="Times New Roman" w:hAnsi="Times New Roman" w:cs="Times New Roman"/>
          <w:sz w:val="24"/>
        </w:rPr>
        <w:t xml:space="preserve"> </w:t>
      </w:r>
      <w:r w:rsidRPr="00C9671E">
        <w:rPr>
          <w:rFonts w:ascii="Times New Roman" w:hAnsi="Times New Roman" w:cs="Times New Roman"/>
          <w:sz w:val="24"/>
        </w:rPr>
        <w:t>1.639</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професионалци.</w:t>
      </w:r>
      <w:r w:rsidR="00E003C4" w:rsidRPr="00C9671E">
        <w:rPr>
          <w:rFonts w:ascii="Times New Roman" w:hAnsi="Times New Roman" w:cs="Times New Roman"/>
          <w:sz w:val="24"/>
        </w:rPr>
        <w:t xml:space="preserve"> </w:t>
      </w:r>
    </w:p>
    <w:p w14:paraId="3A68569D" w14:textId="77777777" w:rsidR="001602DC" w:rsidRPr="00C9671E" w:rsidRDefault="00823DC0"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Квалитет</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правда</w:t>
      </w:r>
    </w:p>
    <w:p w14:paraId="4FCF8672"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Важно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Академијата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судии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единствена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влезна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овие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оценската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2018</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Подеднакво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внимава</w:t>
      </w:r>
      <w:r w:rsidR="00E003C4" w:rsidRPr="00C9671E">
        <w:rPr>
          <w:rFonts w:ascii="Times New Roman" w:hAnsi="Times New Roman" w:cs="Times New Roman"/>
          <w:sz w:val="24"/>
        </w:rPr>
        <w:t xml:space="preserve"> </w:t>
      </w:r>
      <w:r w:rsidR="0084277B"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w:t>
      </w:r>
      <w:r w:rsidR="00823DC0"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скрати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почетната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обука.</w:t>
      </w:r>
    </w:p>
    <w:p w14:paraId="6765B334"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Почетната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59</w:t>
      </w:r>
      <w:r w:rsidR="00E003C4" w:rsidRPr="00C9671E">
        <w:rPr>
          <w:rFonts w:ascii="Times New Roman" w:hAnsi="Times New Roman" w:cs="Times New Roman"/>
          <w:sz w:val="24"/>
        </w:rPr>
        <w:t xml:space="preserve"> </w:t>
      </w:r>
      <w:r w:rsidRPr="00C9671E">
        <w:rPr>
          <w:rFonts w:ascii="Times New Roman" w:hAnsi="Times New Roman" w:cs="Times New Roman"/>
          <w:sz w:val="24"/>
        </w:rPr>
        <w:t>студенти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седмиот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приемен</w:t>
      </w:r>
      <w:r w:rsidR="00E003C4" w:rsidRPr="00C9671E">
        <w:rPr>
          <w:rFonts w:ascii="Times New Roman" w:hAnsi="Times New Roman" w:cs="Times New Roman"/>
          <w:sz w:val="24"/>
        </w:rPr>
        <w:t xml:space="preserve"> </w:t>
      </w:r>
      <w:r w:rsidRPr="00C9671E">
        <w:rPr>
          <w:rFonts w:ascii="Times New Roman" w:hAnsi="Times New Roman" w:cs="Times New Roman"/>
          <w:sz w:val="24"/>
        </w:rPr>
        <w:t>рок</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97-те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студенти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84277B" w:rsidRPr="00C9671E">
        <w:rPr>
          <w:rFonts w:ascii="Times New Roman" w:hAnsi="Times New Roman" w:cs="Times New Roman"/>
          <w:sz w:val="24"/>
        </w:rPr>
        <w:t>осмиот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приемен</w:t>
      </w:r>
      <w:r w:rsidR="00E003C4" w:rsidRPr="00C9671E">
        <w:rPr>
          <w:rFonts w:ascii="Times New Roman" w:hAnsi="Times New Roman" w:cs="Times New Roman"/>
          <w:sz w:val="24"/>
        </w:rPr>
        <w:t xml:space="preserve"> </w:t>
      </w:r>
      <w:r w:rsidRPr="00C9671E">
        <w:rPr>
          <w:rFonts w:ascii="Times New Roman" w:hAnsi="Times New Roman" w:cs="Times New Roman"/>
          <w:sz w:val="24"/>
        </w:rPr>
        <w:t>рок</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15</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започнаа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мај.</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одбележа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15-годишнина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мрежа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(ЕЈТН)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w:t>
      </w:r>
      <w:r w:rsidR="00E003C4" w:rsidRPr="00C9671E">
        <w:rPr>
          <w:rFonts w:ascii="Times New Roman" w:hAnsi="Times New Roman" w:cs="Times New Roman"/>
          <w:sz w:val="24"/>
        </w:rPr>
        <w:t xml:space="preserve"> </w:t>
      </w:r>
      <w:r w:rsidRPr="00C9671E">
        <w:rPr>
          <w:rFonts w:ascii="Times New Roman" w:hAnsi="Times New Roman" w:cs="Times New Roman"/>
          <w:sz w:val="24"/>
        </w:rPr>
        <w:t>(ЕРА).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изнесуваше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1.193.036</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38</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споредба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p>
    <w:p w14:paraId="4398D265"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четирите</w:t>
      </w:r>
      <w:r w:rsidR="00E003C4" w:rsidRPr="00C9671E">
        <w:rPr>
          <w:rFonts w:ascii="Times New Roman" w:hAnsi="Times New Roman" w:cs="Times New Roman"/>
          <w:sz w:val="24"/>
        </w:rPr>
        <w:t xml:space="preserve"> </w:t>
      </w:r>
      <w:r w:rsidR="001C70DD" w:rsidRPr="00C9671E">
        <w:rPr>
          <w:rFonts w:ascii="Times New Roman" w:hAnsi="Times New Roman" w:cs="Times New Roman"/>
          <w:sz w:val="24"/>
        </w:rPr>
        <w:t>а</w:t>
      </w:r>
      <w:r w:rsidRPr="00C9671E">
        <w:rPr>
          <w:rFonts w:ascii="Times New Roman" w:hAnsi="Times New Roman" w:cs="Times New Roman"/>
          <w:sz w:val="24"/>
        </w:rPr>
        <w:t>пелациони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доследноста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пресудите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усогласување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практики.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0084277B" w:rsidRPr="00C9671E">
        <w:rPr>
          <w:rFonts w:ascii="Times New Roman" w:hAnsi="Times New Roman" w:cs="Times New Roman"/>
          <w:sz w:val="24"/>
        </w:rPr>
        <w:t>Д</w:t>
      </w:r>
      <w:r w:rsidRPr="00C9671E">
        <w:rPr>
          <w:rFonts w:ascii="Times New Roman" w:hAnsi="Times New Roman" w:cs="Times New Roman"/>
          <w:sz w:val="24"/>
        </w:rPr>
        <w:t>еловник</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тој</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35</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мислења,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ставови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заклучоци,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обј</w:t>
      </w:r>
      <w:r w:rsidR="00823DC0" w:rsidRPr="00C9671E">
        <w:rPr>
          <w:rFonts w:ascii="Times New Roman" w:hAnsi="Times New Roman" w:cs="Times New Roman"/>
          <w:sz w:val="24"/>
        </w:rPr>
        <w:t>авени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неговата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веб-страница.</w:t>
      </w:r>
    </w:p>
    <w:p w14:paraId="58CC33DF"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имало</w:t>
      </w:r>
      <w:r w:rsidR="00E003C4" w:rsidRPr="00C9671E">
        <w:rPr>
          <w:rFonts w:ascii="Times New Roman" w:hAnsi="Times New Roman" w:cs="Times New Roman"/>
          <w:sz w:val="24"/>
        </w:rPr>
        <w:t xml:space="preserve"> </w:t>
      </w:r>
      <w:r w:rsidRPr="00C9671E">
        <w:rPr>
          <w:rFonts w:ascii="Times New Roman" w:hAnsi="Times New Roman" w:cs="Times New Roman"/>
          <w:sz w:val="24"/>
        </w:rPr>
        <w:t>473</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(26</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100.000</w:t>
      </w:r>
      <w:r w:rsidR="00E003C4" w:rsidRPr="00C9671E">
        <w:rPr>
          <w:rFonts w:ascii="Times New Roman" w:hAnsi="Times New Roman" w:cs="Times New Roman"/>
          <w:sz w:val="24"/>
        </w:rPr>
        <w:t xml:space="preserve"> </w:t>
      </w:r>
      <w:r w:rsidRPr="00C9671E">
        <w:rPr>
          <w:rFonts w:ascii="Times New Roman" w:hAnsi="Times New Roman" w:cs="Times New Roman"/>
          <w:sz w:val="24"/>
        </w:rPr>
        <w:t>жители)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61</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170</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100.000</w:t>
      </w:r>
      <w:r w:rsidR="00E003C4" w:rsidRPr="00C9671E">
        <w:rPr>
          <w:rFonts w:ascii="Times New Roman" w:hAnsi="Times New Roman" w:cs="Times New Roman"/>
          <w:sz w:val="24"/>
        </w:rPr>
        <w:t xml:space="preserve"> </w:t>
      </w:r>
      <w:r w:rsidRPr="00C9671E">
        <w:rPr>
          <w:rFonts w:ascii="Times New Roman" w:hAnsi="Times New Roman" w:cs="Times New Roman"/>
          <w:sz w:val="24"/>
        </w:rPr>
        <w:t>жители),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55</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помалку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отколку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bookmarkStart w:id="64" w:name="_Hlk114691664"/>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ефикасноста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(СЕPEJ),</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просеци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21</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12</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100.000</w:t>
      </w:r>
      <w:r w:rsidR="00E003C4" w:rsidRPr="00C9671E">
        <w:rPr>
          <w:rFonts w:ascii="Times New Roman" w:hAnsi="Times New Roman" w:cs="Times New Roman"/>
          <w:sz w:val="24"/>
        </w:rPr>
        <w:t xml:space="preserve"> </w:t>
      </w:r>
      <w:r w:rsidRPr="00C9671E">
        <w:rPr>
          <w:rFonts w:ascii="Times New Roman" w:hAnsi="Times New Roman" w:cs="Times New Roman"/>
          <w:sz w:val="24"/>
        </w:rPr>
        <w:t>жители.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изнесуваше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околу</w:t>
      </w:r>
      <w:r w:rsidR="00E003C4" w:rsidRPr="00C9671E">
        <w:rPr>
          <w:rFonts w:ascii="Times New Roman" w:hAnsi="Times New Roman" w:cs="Times New Roman"/>
          <w:sz w:val="24"/>
        </w:rPr>
        <w:t xml:space="preserve"> </w:t>
      </w:r>
      <w:r w:rsidRPr="00C9671E">
        <w:rPr>
          <w:rFonts w:ascii="Times New Roman" w:hAnsi="Times New Roman" w:cs="Times New Roman"/>
          <w:sz w:val="24"/>
        </w:rPr>
        <w:t>40</w:t>
      </w:r>
      <w:r w:rsidR="00E003C4" w:rsidRPr="00C9671E">
        <w:rPr>
          <w:rFonts w:ascii="Times New Roman" w:hAnsi="Times New Roman" w:cs="Times New Roman"/>
          <w:sz w:val="24"/>
        </w:rPr>
        <w:t xml:space="preserve"> </w:t>
      </w:r>
      <w:r w:rsidRPr="00C9671E">
        <w:rPr>
          <w:rFonts w:ascii="Times New Roman" w:hAnsi="Times New Roman" w:cs="Times New Roman"/>
          <w:sz w:val="24"/>
        </w:rPr>
        <w:t>милиони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евра.</w:t>
      </w:r>
      <w:r w:rsidR="00E003C4" w:rsidRPr="00C9671E">
        <w:rPr>
          <w:rFonts w:ascii="Times New Roman" w:hAnsi="Times New Roman" w:cs="Times New Roman"/>
          <w:sz w:val="24"/>
        </w:rPr>
        <w:t xml:space="preserve"> </w:t>
      </w:r>
      <w:bookmarkEnd w:id="64"/>
      <w:r w:rsidRPr="00C9671E">
        <w:rPr>
          <w:rFonts w:ascii="Times New Roman" w:hAnsi="Times New Roman" w:cs="Times New Roman"/>
          <w:sz w:val="24"/>
        </w:rPr>
        <w:t>Пензионирањата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1C70DD"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48</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1C70DD"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11.</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суштинско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однапред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испланира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дигитализација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интензивираше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ИТ</w:t>
      </w:r>
      <w:r w:rsidR="00BC5947" w:rsidRPr="00C9671E">
        <w:rPr>
          <w:rFonts w:ascii="Times New Roman" w:hAnsi="Times New Roman" w:cs="Times New Roman"/>
          <w:sz w:val="24"/>
        </w:rPr>
        <w:t>-</w:t>
      </w:r>
      <w:r w:rsidRPr="00C9671E">
        <w:rPr>
          <w:rFonts w:ascii="Times New Roman" w:hAnsi="Times New Roman" w:cs="Times New Roman"/>
          <w:sz w:val="24"/>
        </w:rPr>
        <w:t>стратегијата.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пилот</w:t>
      </w:r>
      <w:r w:rsidR="001C70DD" w:rsidRPr="00C9671E">
        <w:rPr>
          <w:rFonts w:ascii="Times New Roman" w:hAnsi="Times New Roman" w:cs="Times New Roman"/>
          <w:sz w:val="24"/>
        </w:rPr>
        <w:t>-</w:t>
      </w:r>
      <w:r w:rsidR="00BC5947"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00BC5947" w:rsidRPr="00C9671E">
        <w:rPr>
          <w:rFonts w:ascii="Times New Roman" w:hAnsi="Times New Roman" w:cs="Times New Roman"/>
          <w:sz w:val="24"/>
        </w:rPr>
        <w:t>добија</w:t>
      </w:r>
      <w:r w:rsidR="00E003C4" w:rsidRPr="00C9671E">
        <w:rPr>
          <w:rFonts w:ascii="Times New Roman" w:hAnsi="Times New Roman" w:cs="Times New Roman"/>
          <w:sz w:val="24"/>
        </w:rPr>
        <w:t xml:space="preserve"> </w:t>
      </w:r>
      <w:r w:rsidR="00BC5947" w:rsidRPr="00C9671E">
        <w:rPr>
          <w:rFonts w:ascii="Times New Roman" w:hAnsi="Times New Roman" w:cs="Times New Roman"/>
          <w:sz w:val="24"/>
        </w:rPr>
        <w:t>ИТ-</w:t>
      </w:r>
      <w:r w:rsidRPr="00C9671E">
        <w:rPr>
          <w:rFonts w:ascii="Times New Roman" w:hAnsi="Times New Roman" w:cs="Times New Roman"/>
          <w:sz w:val="24"/>
        </w:rPr>
        <w:t>опрема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донатори.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дополнителен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ИТ</w:t>
      </w:r>
      <w:r w:rsidR="00BC5947" w:rsidRPr="00C9671E">
        <w:rPr>
          <w:rFonts w:ascii="Times New Roman" w:hAnsi="Times New Roman" w:cs="Times New Roman"/>
          <w:sz w:val="24"/>
        </w:rPr>
        <w:t>-</w:t>
      </w:r>
      <w:r w:rsidRPr="00C9671E">
        <w:rPr>
          <w:rFonts w:ascii="Times New Roman" w:hAnsi="Times New Roman" w:cs="Times New Roman"/>
          <w:sz w:val="24"/>
        </w:rPr>
        <w:t>персонал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зависи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понудата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конкурентн</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оние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приватниот</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сектор.</w:t>
      </w:r>
    </w:p>
    <w:p w14:paraId="2CEEE148"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медијација,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промовира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квалитетот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медијацијата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унифицира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лиценцирани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медијатори.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континуираното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промовирање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медијацијата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методи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алтернативно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решавање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спорови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релевантните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Академијата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w:t>
      </w:r>
      <w:r w:rsidR="00823DC0" w:rsidRPr="00C9671E">
        <w:rPr>
          <w:rFonts w:ascii="Times New Roman" w:hAnsi="Times New Roman" w:cs="Times New Roman"/>
          <w:sz w:val="24"/>
        </w:rPr>
        <w:t>ители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Здружението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судиите.</w:t>
      </w:r>
    </w:p>
    <w:p w14:paraId="634556E1"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Ефикасност</w:t>
      </w:r>
    </w:p>
    <w:p w14:paraId="7622D9C4"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позитивниот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тренд</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стапката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решавање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100</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исклучок</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86,56</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прв</w:t>
      </w:r>
      <w:r w:rsidR="00E003C4" w:rsidRPr="00C9671E">
        <w:rPr>
          <w:rFonts w:ascii="Times New Roman" w:hAnsi="Times New Roman" w:cs="Times New Roman"/>
          <w:sz w:val="24"/>
        </w:rPr>
        <w:t xml:space="preserve"> </w:t>
      </w:r>
      <w:r w:rsidRPr="00C9671E">
        <w:rPr>
          <w:rFonts w:ascii="Times New Roman" w:hAnsi="Times New Roman" w:cs="Times New Roman"/>
          <w:sz w:val="24"/>
        </w:rPr>
        <w:t>степен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111,01</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жалбена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1C70DD"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незавршени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старите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вложени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Венецијанската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преиспитување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јазиците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двојазичноста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сеопфатно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брзо</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решение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проблемот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сметаат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несоодветни.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кариерата,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преземени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никакви</w:t>
      </w:r>
      <w:r w:rsidR="00E003C4" w:rsidRPr="00C9671E">
        <w:rPr>
          <w:rFonts w:ascii="Times New Roman" w:hAnsi="Times New Roman" w:cs="Times New Roman"/>
          <w:sz w:val="24"/>
        </w:rPr>
        <w:t xml:space="preserve"> </w:t>
      </w:r>
      <w:r w:rsidRPr="00C9671E">
        <w:rPr>
          <w:rFonts w:ascii="Times New Roman" w:hAnsi="Times New Roman" w:cs="Times New Roman"/>
          <w:sz w:val="24"/>
        </w:rPr>
        <w:t>чекори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трошоци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времетрае</w:t>
      </w:r>
      <w:r w:rsidR="00823DC0" w:rsidRPr="00C9671E">
        <w:rPr>
          <w:rFonts w:ascii="Times New Roman" w:hAnsi="Times New Roman" w:cs="Times New Roman"/>
          <w:sz w:val="24"/>
        </w:rPr>
        <w:t>њето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извршување.</w:t>
      </w:r>
    </w:p>
    <w:p w14:paraId="320920DA" w14:textId="77777777" w:rsidR="001602DC" w:rsidRPr="00C9671E" w:rsidRDefault="001602DC" w:rsidP="0012222D">
      <w:pPr>
        <w:spacing w:after="120" w:line="240" w:lineRule="auto"/>
        <w:jc w:val="both"/>
        <w:rPr>
          <w:rFonts w:ascii="Times New Roman" w:hAnsi="Times New Roman" w:cs="Times New Roman"/>
          <w:b/>
          <w:sz w:val="24"/>
          <w:szCs w:val="24"/>
        </w:rPr>
      </w:pPr>
      <w:r w:rsidRPr="00C9671E">
        <w:rPr>
          <w:rFonts w:ascii="Times New Roman" w:hAnsi="Times New Roman" w:cs="Times New Roman"/>
          <w:b/>
          <w:sz w:val="24"/>
        </w:rPr>
        <w:t>Борба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против</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корупција</w:t>
      </w:r>
      <w:r w:rsidR="00E003C4" w:rsidRPr="00C9671E">
        <w:rPr>
          <w:rFonts w:ascii="Times New Roman" w:hAnsi="Times New Roman" w:cs="Times New Roman"/>
          <w:b/>
          <w:sz w:val="24"/>
        </w:rPr>
        <w:t xml:space="preserve"> </w:t>
      </w:r>
    </w:p>
    <w:p w14:paraId="233E0D5C" w14:textId="77777777"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постигна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одредено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ниво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подготвеност/е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умерено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подготвена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превенцијата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b/>
          <w:sz w:val="24"/>
        </w:rPr>
        <w:t>одреден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напредок</w:t>
      </w:r>
      <w:r w:rsidR="00E003C4" w:rsidRPr="00C9671E">
        <w:rPr>
          <w:rFonts w:ascii="Times New Roman" w:hAnsi="Times New Roman" w:cs="Times New Roman"/>
          <w:b/>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оглед</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консолидира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евиденција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решаваат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незаконското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прислушување.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доделување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направат</w:t>
      </w:r>
      <w:r w:rsidR="00E003C4" w:rsidRPr="00C9671E">
        <w:rPr>
          <w:rFonts w:ascii="Times New Roman" w:hAnsi="Times New Roman" w:cs="Times New Roman"/>
          <w:sz w:val="24"/>
        </w:rPr>
        <w:t xml:space="preserve"> </w:t>
      </w:r>
      <w:r w:rsidRPr="00C9671E">
        <w:rPr>
          <w:rFonts w:ascii="Times New Roman" w:hAnsi="Times New Roman" w:cs="Times New Roman"/>
          <w:sz w:val="24"/>
        </w:rPr>
        <w:t>достапни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единиците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најмногу</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подлежат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ризици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дејства.</w:t>
      </w:r>
    </w:p>
    <w:p w14:paraId="1E9344D0" w14:textId="77777777"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следната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треба:</w:t>
      </w:r>
    </w:p>
    <w:p w14:paraId="12C3907E"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презема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ГРЕКО;</w:t>
      </w:r>
    </w:p>
    <w:p w14:paraId="738AFCB3"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доделува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доволни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експерти,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осигури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p>
    <w:p w14:paraId="360D5172"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lastRenderedPageBreak/>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1C70DD"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правосилни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заснована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проширена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p>
    <w:p w14:paraId="37FA43FA" w14:textId="77777777" w:rsidR="001602DC" w:rsidRPr="00C9671E" w:rsidRDefault="001602DC" w:rsidP="0012222D">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Евиденција</w:t>
      </w:r>
    </w:p>
    <w:p w14:paraId="170EA531"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b/>
          <w:sz w:val="24"/>
        </w:rPr>
        <w:t>Судењата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предметите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поранешното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Специјално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јавно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одвиваат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Досега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правосилни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седум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17</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преостанатите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11</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изречени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b/>
          <w:sz w:val="24"/>
        </w:rPr>
        <w:t>првостепени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пресуди</w:t>
      </w:r>
      <w:r w:rsidRPr="00C9671E">
        <w:rPr>
          <w:rFonts w:ascii="Times New Roman" w:hAnsi="Times New Roman" w:cs="Times New Roman"/>
          <w:sz w:val="24"/>
        </w:rPr>
        <w:t>.</w:t>
      </w:r>
    </w:p>
    <w:p w14:paraId="27E3F456"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Судовите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изрекоа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тука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истакнати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владини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функционери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премиер,</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(АНБ).</w:t>
      </w:r>
      <w:r w:rsidR="00E003C4" w:rsidRPr="00C9671E">
        <w:rPr>
          <w:rFonts w:ascii="Times New Roman" w:hAnsi="Times New Roman" w:cs="Times New Roman"/>
          <w:sz w:val="24"/>
        </w:rPr>
        <w:t xml:space="preserve"> </w:t>
      </w:r>
      <w:r w:rsidRPr="00C9671E">
        <w:rPr>
          <w:rFonts w:ascii="Times New Roman" w:hAnsi="Times New Roman" w:cs="Times New Roman"/>
          <w:sz w:val="24"/>
        </w:rPr>
        <w:t>Тројца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прогласените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понатаму</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бегство.</w:t>
      </w:r>
    </w:p>
    <w:p w14:paraId="6F214F2C"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наречен</w:t>
      </w:r>
      <w:r w:rsidR="00E003C4" w:rsidRPr="00C9671E">
        <w:rPr>
          <w:rFonts w:ascii="Times New Roman" w:hAnsi="Times New Roman" w:cs="Times New Roman"/>
          <w:sz w:val="24"/>
        </w:rPr>
        <w:t xml:space="preserve"> </w:t>
      </w:r>
      <w:r w:rsidRPr="00C9671E">
        <w:rPr>
          <w:rFonts w:ascii="Times New Roman" w:hAnsi="Times New Roman" w:cs="Times New Roman"/>
          <w:sz w:val="24"/>
        </w:rPr>
        <w:t>„Титаник</w:t>
      </w:r>
      <w:r w:rsidR="00E003C4" w:rsidRPr="00C9671E">
        <w:rPr>
          <w:rFonts w:ascii="Times New Roman" w:hAnsi="Times New Roman" w:cs="Times New Roman"/>
          <w:sz w:val="24"/>
        </w:rPr>
        <w:t xml:space="preserve"> </w:t>
      </w:r>
      <w:r w:rsidRPr="00C9671E">
        <w:rPr>
          <w:rFonts w:ascii="Times New Roman" w:hAnsi="Times New Roman" w:cs="Times New Roman"/>
          <w:sz w:val="24"/>
        </w:rPr>
        <w:t>1“,</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осум</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21</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изјаснија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делови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февруари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четворица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прв</w:t>
      </w:r>
      <w:r w:rsidR="00E003C4" w:rsidRPr="00C9671E">
        <w:rPr>
          <w:rFonts w:ascii="Times New Roman" w:hAnsi="Times New Roman" w:cs="Times New Roman"/>
          <w:sz w:val="24"/>
        </w:rPr>
        <w:t xml:space="preserve"> </w:t>
      </w:r>
      <w:r w:rsidRPr="00C9671E">
        <w:rPr>
          <w:rFonts w:ascii="Times New Roman" w:hAnsi="Times New Roman" w:cs="Times New Roman"/>
          <w:sz w:val="24"/>
        </w:rPr>
        <w:t>степен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месеци,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месеци,</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Останатите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четворица,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шеф</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кабинет,</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заменик-министер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правда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w:t>
      </w:r>
      <w:r w:rsidR="0012222D" w:rsidRPr="00C9671E">
        <w:rPr>
          <w:rFonts w:ascii="Times New Roman" w:hAnsi="Times New Roman" w:cs="Times New Roman"/>
          <w:sz w:val="24"/>
        </w:rPr>
        <w:t>анешниот</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генерален</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секретар</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p>
    <w:p w14:paraId="6BE73335" w14:textId="3BB30F05"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именуван</w:t>
      </w:r>
      <w:r w:rsidR="00E003C4" w:rsidRPr="00C9671E">
        <w:rPr>
          <w:rFonts w:ascii="Times New Roman" w:hAnsi="Times New Roman" w:cs="Times New Roman"/>
          <w:sz w:val="24"/>
        </w:rPr>
        <w:t xml:space="preserve"> </w:t>
      </w:r>
      <w:r w:rsidRPr="00C9671E">
        <w:rPr>
          <w:rFonts w:ascii="Times New Roman" w:hAnsi="Times New Roman" w:cs="Times New Roman"/>
          <w:sz w:val="24"/>
        </w:rPr>
        <w:t>„Топлик“,</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прогласи</w:t>
      </w:r>
      <w:r w:rsidR="00E003C4" w:rsidRPr="00C9671E">
        <w:rPr>
          <w:rFonts w:ascii="Times New Roman" w:hAnsi="Times New Roman" w:cs="Times New Roman"/>
          <w:sz w:val="24"/>
        </w:rPr>
        <w:t xml:space="preserve"> </w:t>
      </w:r>
      <w:r w:rsidR="0008150C" w:rsidRPr="00C9671E">
        <w:rPr>
          <w:rFonts w:ascii="Times New Roman" w:hAnsi="Times New Roman" w:cs="Times New Roman"/>
          <w:sz w:val="24"/>
        </w:rPr>
        <w:t>шестмина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злоупотреба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положба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овластување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продажба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земјиште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изградба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станбен</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комплекс.</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набавки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Четворицата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p>
    <w:p w14:paraId="1FA46B92"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наречен</w:t>
      </w:r>
      <w:r w:rsidR="00E003C4" w:rsidRPr="00C9671E">
        <w:rPr>
          <w:rFonts w:ascii="Times New Roman" w:hAnsi="Times New Roman" w:cs="Times New Roman"/>
          <w:sz w:val="24"/>
        </w:rPr>
        <w:t xml:space="preserve"> </w:t>
      </w:r>
      <w:r w:rsidRPr="00C9671E">
        <w:rPr>
          <w:rFonts w:ascii="Times New Roman" w:hAnsi="Times New Roman" w:cs="Times New Roman"/>
          <w:sz w:val="24"/>
        </w:rPr>
        <w:t>„Тарифа“,</w:t>
      </w:r>
      <w:r w:rsidR="00E003C4" w:rsidRPr="00C9671E">
        <w:rPr>
          <w:rFonts w:ascii="Times New Roman" w:hAnsi="Times New Roman" w:cs="Times New Roman"/>
          <w:sz w:val="24"/>
        </w:rPr>
        <w:t xml:space="preserve"> </w:t>
      </w:r>
      <w:r w:rsidRPr="00C9671E">
        <w:rPr>
          <w:rFonts w:ascii="Times New Roman" w:hAnsi="Times New Roman" w:cs="Times New Roman"/>
          <w:sz w:val="24"/>
        </w:rPr>
        <w:t>Апелациониот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поништи,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2019</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повторно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компанија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производство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електрична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енергија,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АД</w:t>
      </w:r>
      <w:r w:rsidR="00E003C4" w:rsidRPr="00C9671E">
        <w:rPr>
          <w:rFonts w:ascii="Times New Roman" w:hAnsi="Times New Roman" w:cs="Times New Roman"/>
          <w:sz w:val="24"/>
        </w:rPr>
        <w:t xml:space="preserve"> </w:t>
      </w:r>
      <w:r w:rsidRPr="00C9671E">
        <w:rPr>
          <w:rFonts w:ascii="Times New Roman" w:hAnsi="Times New Roman" w:cs="Times New Roman"/>
          <w:sz w:val="24"/>
        </w:rPr>
        <w:t>ЕЛЕМ,</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незаконски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исплати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конзорциум</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добил</w:t>
      </w:r>
      <w:r w:rsidR="00E003C4" w:rsidRPr="00C9671E">
        <w:rPr>
          <w:rFonts w:ascii="Times New Roman" w:hAnsi="Times New Roman" w:cs="Times New Roman"/>
          <w:sz w:val="24"/>
        </w:rPr>
        <w:t xml:space="preserve"> </w:t>
      </w:r>
      <w:r w:rsidRPr="00C9671E">
        <w:rPr>
          <w:rFonts w:ascii="Times New Roman" w:hAnsi="Times New Roman" w:cs="Times New Roman"/>
          <w:sz w:val="24"/>
        </w:rPr>
        <w:t>тендерот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софтверски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p>
    <w:p w14:paraId="01BF8880" w14:textId="15AEF129"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изрече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прв</w:t>
      </w:r>
      <w:r w:rsidR="00E003C4" w:rsidRPr="00C9671E">
        <w:rPr>
          <w:rFonts w:ascii="Times New Roman" w:hAnsi="Times New Roman" w:cs="Times New Roman"/>
          <w:sz w:val="24"/>
        </w:rPr>
        <w:t xml:space="preserve"> </w:t>
      </w:r>
      <w:r w:rsidRPr="00C9671E">
        <w:rPr>
          <w:rFonts w:ascii="Times New Roman" w:hAnsi="Times New Roman" w:cs="Times New Roman"/>
          <w:sz w:val="24"/>
        </w:rPr>
        <w:t>степен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„Плацеви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прогласи</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0008150C" w:rsidRPr="00C9671E">
        <w:rPr>
          <w:rFonts w:ascii="Times New Roman" w:hAnsi="Times New Roman" w:cs="Times New Roman"/>
          <w:sz w:val="24"/>
        </w:rPr>
        <w:t>шестмина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премиер</w:t>
      </w:r>
      <w:r w:rsidR="00E003C4" w:rsidRPr="00C9671E">
        <w:rPr>
          <w:rFonts w:ascii="Times New Roman" w:hAnsi="Times New Roman" w:cs="Times New Roman"/>
          <w:sz w:val="24"/>
        </w:rPr>
        <w:t xml:space="preserve"> </w:t>
      </w:r>
      <w:r w:rsidRPr="00C9671E">
        <w:rPr>
          <w:rFonts w:ascii="Times New Roman" w:hAnsi="Times New Roman" w:cs="Times New Roman"/>
          <w:sz w:val="24"/>
        </w:rPr>
        <w:t>му</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изречена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отсуство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седум</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противправно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стекнување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471BAD" w:rsidRPr="00C9671E">
        <w:rPr>
          <w:rFonts w:ascii="Times New Roman" w:hAnsi="Times New Roman" w:cs="Times New Roman"/>
          <w:sz w:val="24"/>
        </w:rPr>
        <w:t>Агенцијата</w:t>
      </w:r>
      <w:r w:rsidR="00E003C4" w:rsidRPr="00C9671E">
        <w:rPr>
          <w:rFonts w:ascii="Times New Roman" w:hAnsi="Times New Roman" w:cs="Times New Roman"/>
          <w:sz w:val="24"/>
        </w:rPr>
        <w:t xml:space="preserve"> </w:t>
      </w:r>
      <w:r w:rsidR="00471BAD"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471BAD" w:rsidRPr="00C9671E">
        <w:rPr>
          <w:rFonts w:ascii="Times New Roman" w:hAnsi="Times New Roman" w:cs="Times New Roman"/>
          <w:sz w:val="24"/>
        </w:rPr>
        <w:t>национална</w:t>
      </w:r>
      <w:r w:rsidR="00E003C4" w:rsidRPr="00C9671E">
        <w:rPr>
          <w:rFonts w:ascii="Times New Roman" w:hAnsi="Times New Roman" w:cs="Times New Roman"/>
          <w:sz w:val="24"/>
        </w:rPr>
        <w:t xml:space="preserve"> </w:t>
      </w:r>
      <w:r w:rsidR="00471BAD" w:rsidRPr="00C9671E">
        <w:rPr>
          <w:rFonts w:ascii="Times New Roman" w:hAnsi="Times New Roman" w:cs="Times New Roman"/>
          <w:sz w:val="24"/>
        </w:rPr>
        <w:t>безбедност</w:t>
      </w:r>
      <w:r w:rsidR="00E003C4" w:rsidRPr="00C9671E">
        <w:rPr>
          <w:rFonts w:ascii="Times New Roman" w:hAnsi="Times New Roman" w:cs="Times New Roman"/>
          <w:sz w:val="24"/>
        </w:rPr>
        <w:t xml:space="preserve"> </w:t>
      </w:r>
      <w:r w:rsidR="00471BAD" w:rsidRPr="00C9671E">
        <w:rPr>
          <w:rFonts w:ascii="Times New Roman" w:hAnsi="Times New Roman" w:cs="Times New Roman"/>
          <w:sz w:val="24"/>
        </w:rPr>
        <w:t>(АНБ)</w:t>
      </w:r>
      <w:r w:rsidR="00E003C4" w:rsidRPr="00705B41">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месеци,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двајца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бизнисмен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Обвиненијата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повлечени.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недвижен</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бил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запленет.</w:t>
      </w:r>
    </w:p>
    <w:p w14:paraId="2BE43C6A"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lastRenderedPageBreak/>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тендерот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двокатните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автобуси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сообраќајно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претпријатие</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(ЈСП),</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моментално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пратеник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користење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положба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стекнување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придобивки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економскиот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оператор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набавка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w:t>
      </w:r>
      <w:r w:rsidR="00E003C4" w:rsidRPr="00C9671E">
        <w:rPr>
          <w:rFonts w:ascii="Times New Roman" w:hAnsi="Times New Roman" w:cs="Times New Roman"/>
          <w:sz w:val="24"/>
        </w:rPr>
        <w:t xml:space="preserve"> </w:t>
      </w:r>
      <w:r w:rsidRPr="00C9671E">
        <w:rPr>
          <w:rFonts w:ascii="Times New Roman" w:hAnsi="Times New Roman" w:cs="Times New Roman"/>
          <w:sz w:val="24"/>
        </w:rPr>
        <w:t>автобуси,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причинувајќи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приближно</w:t>
      </w:r>
      <w:r w:rsidR="00E003C4" w:rsidRPr="00C9671E">
        <w:rPr>
          <w:rFonts w:ascii="Times New Roman" w:hAnsi="Times New Roman" w:cs="Times New Roman"/>
          <w:sz w:val="24"/>
        </w:rPr>
        <w:t xml:space="preserve"> </w:t>
      </w:r>
      <w:r w:rsidRPr="00C9671E">
        <w:rPr>
          <w:rFonts w:ascii="Times New Roman" w:hAnsi="Times New Roman" w:cs="Times New Roman"/>
          <w:sz w:val="24"/>
        </w:rPr>
        <w:t>4,77</w:t>
      </w:r>
      <w:r w:rsidR="00E003C4" w:rsidRPr="00C9671E">
        <w:rPr>
          <w:rFonts w:ascii="Times New Roman" w:hAnsi="Times New Roman" w:cs="Times New Roman"/>
          <w:sz w:val="24"/>
        </w:rPr>
        <w:t xml:space="preserve"> </w:t>
      </w:r>
      <w:r w:rsidRPr="00C9671E">
        <w:rPr>
          <w:rFonts w:ascii="Times New Roman" w:hAnsi="Times New Roman" w:cs="Times New Roman"/>
          <w:sz w:val="24"/>
        </w:rPr>
        <w:t>милиони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транспорт</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двајца</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изјаснија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виновни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ЈСП</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p>
    <w:p w14:paraId="6DEE84E6"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одби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вонредно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преиспитување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„Рекет“,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обвинителка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седум</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p>
    <w:p w14:paraId="726D6CF4"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„Талир</w:t>
      </w:r>
      <w:r w:rsidR="00E003C4" w:rsidRPr="00C9671E">
        <w:rPr>
          <w:rFonts w:ascii="Times New Roman" w:hAnsi="Times New Roman" w:cs="Times New Roman"/>
          <w:sz w:val="24"/>
        </w:rPr>
        <w:t xml:space="preserve"> </w:t>
      </w:r>
      <w:r w:rsidRPr="00C9671E">
        <w:rPr>
          <w:rFonts w:ascii="Times New Roman" w:hAnsi="Times New Roman" w:cs="Times New Roman"/>
          <w:sz w:val="24"/>
        </w:rPr>
        <w:t>2“,</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Судот</w:t>
      </w:r>
      <w:r w:rsidR="00E003C4" w:rsidRPr="00C9671E">
        <w:rPr>
          <w:rFonts w:ascii="Times New Roman" w:hAnsi="Times New Roman" w:cs="Times New Roman"/>
          <w:sz w:val="24"/>
        </w:rPr>
        <w:t xml:space="preserve"> </w:t>
      </w:r>
      <w:r w:rsidRPr="00C9671E">
        <w:rPr>
          <w:rFonts w:ascii="Times New Roman" w:hAnsi="Times New Roman" w:cs="Times New Roman"/>
          <w:sz w:val="24"/>
        </w:rPr>
        <w:t>г</w:t>
      </w:r>
      <w:r w:rsidR="00C371CE"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прв</w:t>
      </w:r>
      <w:r w:rsidR="00E003C4" w:rsidRPr="00C9671E">
        <w:rPr>
          <w:rFonts w:ascii="Times New Roman" w:hAnsi="Times New Roman" w:cs="Times New Roman"/>
          <w:sz w:val="24"/>
        </w:rPr>
        <w:t xml:space="preserve"> </w:t>
      </w:r>
      <w:r w:rsidRPr="00C9671E">
        <w:rPr>
          <w:rFonts w:ascii="Times New Roman" w:hAnsi="Times New Roman" w:cs="Times New Roman"/>
          <w:sz w:val="24"/>
        </w:rPr>
        <w:t>степен</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премиер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пор</w:t>
      </w:r>
      <w:r w:rsidR="0012222D" w:rsidRPr="00C9671E">
        <w:rPr>
          <w:rFonts w:ascii="Times New Roman" w:hAnsi="Times New Roman" w:cs="Times New Roman"/>
          <w:sz w:val="24"/>
        </w:rPr>
        <w:t>анешниот</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генерален</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секретар</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В</w:t>
      </w:r>
      <w:r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злоупотреба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положба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изгради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седиште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време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компанијата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имала</w:t>
      </w:r>
      <w:r w:rsidR="00E003C4" w:rsidRPr="00C9671E">
        <w:rPr>
          <w:rFonts w:ascii="Times New Roman" w:hAnsi="Times New Roman" w:cs="Times New Roman"/>
          <w:sz w:val="24"/>
        </w:rPr>
        <w:t xml:space="preserve"> </w:t>
      </w:r>
      <w:r w:rsidRPr="00C9671E">
        <w:rPr>
          <w:rFonts w:ascii="Times New Roman" w:hAnsi="Times New Roman" w:cs="Times New Roman"/>
          <w:sz w:val="24"/>
        </w:rPr>
        <w:t>склучено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договори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набавка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компании.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облигациони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седиште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низ</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сопственост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партија.</w:t>
      </w:r>
      <w:r w:rsidR="00E003C4" w:rsidRPr="00C9671E">
        <w:rPr>
          <w:rFonts w:ascii="Times New Roman" w:hAnsi="Times New Roman" w:cs="Times New Roman"/>
          <w:sz w:val="24"/>
        </w:rPr>
        <w:t xml:space="preserve"> </w:t>
      </w:r>
    </w:p>
    <w:p w14:paraId="6AF9C127"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февруари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процедурални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причини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Апелациониот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претседател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манипулација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АКМИС.</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мај</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Апелациониот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повторното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одлучи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осудителна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Врховниот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одби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вонредно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w:t>
      </w:r>
      <w:r w:rsidR="00823DC0" w:rsidRPr="00C9671E">
        <w:rPr>
          <w:rFonts w:ascii="Times New Roman" w:hAnsi="Times New Roman" w:cs="Times New Roman"/>
          <w:sz w:val="24"/>
        </w:rPr>
        <w:t>испитување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конечната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одлука.</w:t>
      </w:r>
    </w:p>
    <w:p w14:paraId="0A73E065"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јавниот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обвинител</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гонење</w:t>
      </w:r>
      <w:r w:rsidR="00E003C4" w:rsidRPr="00C9671E">
        <w:rPr>
          <w:rFonts w:ascii="Times New Roman" w:hAnsi="Times New Roman" w:cs="Times New Roman"/>
          <w:b/>
          <w:sz w:val="24"/>
        </w:rPr>
        <w:t xml:space="preserve"> </w:t>
      </w:r>
      <w:r w:rsidR="00C371CE"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организиран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криминал</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корупција</w:t>
      </w:r>
      <w:r w:rsidR="00E003C4" w:rsidRPr="00C9671E">
        <w:rPr>
          <w:rFonts w:ascii="Times New Roman" w:hAnsi="Times New Roman" w:cs="Times New Roman"/>
          <w:b/>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седум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25</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осомничени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(14</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профил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49</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21</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злоупотреба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положба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девет</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наводно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38</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54</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244</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48</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(50</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14</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второстепени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пресуди.</w:t>
      </w:r>
    </w:p>
    <w:p w14:paraId="1A743379"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27</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привремено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замрзнати</w:t>
      </w:r>
      <w:r w:rsidR="00E003C4" w:rsidRPr="00C9671E">
        <w:rPr>
          <w:rFonts w:ascii="Times New Roman" w:hAnsi="Times New Roman" w:cs="Times New Roman"/>
          <w:sz w:val="24"/>
        </w:rPr>
        <w:t xml:space="preserve"> </w:t>
      </w:r>
      <w:r w:rsidR="00057D66" w:rsidRPr="00C9671E">
        <w:rPr>
          <w:rFonts w:ascii="Times New Roman" w:hAnsi="Times New Roman" w:cs="Times New Roman"/>
          <w:sz w:val="24"/>
        </w:rPr>
        <w:t>движни</w:t>
      </w:r>
      <w:r w:rsidR="00E003C4" w:rsidRPr="00C9671E">
        <w:rPr>
          <w:rFonts w:ascii="Times New Roman" w:hAnsi="Times New Roman" w:cs="Times New Roman"/>
          <w:sz w:val="24"/>
        </w:rPr>
        <w:t xml:space="preserve"> </w:t>
      </w:r>
      <w:r w:rsidR="00057D66"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057D66" w:rsidRPr="00C9671E">
        <w:rPr>
          <w:rFonts w:ascii="Times New Roman" w:hAnsi="Times New Roman" w:cs="Times New Roman"/>
          <w:sz w:val="24"/>
        </w:rPr>
        <w:t>недвижни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конфискувани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значителна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приближно</w:t>
      </w:r>
      <w:r w:rsidR="00E003C4" w:rsidRPr="00C9671E">
        <w:rPr>
          <w:rFonts w:ascii="Times New Roman" w:hAnsi="Times New Roman" w:cs="Times New Roman"/>
          <w:sz w:val="24"/>
        </w:rPr>
        <w:t xml:space="preserve"> </w:t>
      </w:r>
      <w:r w:rsidRPr="00C9671E">
        <w:rPr>
          <w:rFonts w:ascii="Times New Roman" w:hAnsi="Times New Roman" w:cs="Times New Roman"/>
          <w:sz w:val="24"/>
        </w:rPr>
        <w:t>256.000</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p>
    <w:p w14:paraId="76E765F2"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Државната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комисија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спречување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исполнува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обработила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вкупно</w:t>
      </w:r>
      <w:r w:rsidR="00E003C4" w:rsidRPr="00C9671E">
        <w:rPr>
          <w:rFonts w:ascii="Times New Roman" w:hAnsi="Times New Roman" w:cs="Times New Roman"/>
          <w:sz w:val="24"/>
        </w:rPr>
        <w:t xml:space="preserve"> </w:t>
      </w:r>
      <w:r w:rsidRPr="00C9671E">
        <w:rPr>
          <w:rFonts w:ascii="Times New Roman" w:hAnsi="Times New Roman" w:cs="Times New Roman"/>
          <w:sz w:val="24"/>
        </w:rPr>
        <w:t>106</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наводен</w:t>
      </w:r>
      <w:r w:rsidR="00E003C4" w:rsidRPr="00C9671E">
        <w:rPr>
          <w:rFonts w:ascii="Times New Roman" w:hAnsi="Times New Roman" w:cs="Times New Roman"/>
          <w:sz w:val="24"/>
        </w:rPr>
        <w:t xml:space="preserve"> </w:t>
      </w:r>
      <w:r w:rsidRPr="00C9671E">
        <w:rPr>
          <w:rFonts w:ascii="Times New Roman" w:hAnsi="Times New Roman" w:cs="Times New Roman"/>
          <w:b/>
          <w:sz w:val="24"/>
        </w:rPr>
        <w:t>судир</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интереси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17</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89</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152</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(149</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12</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2019</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иницијативите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резултираше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дисциплинска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опомена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неотстранување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мислења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85</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сомневање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кршења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резултираше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32</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прекршочни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платни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налози.</w:t>
      </w:r>
    </w:p>
    <w:p w14:paraId="263EEF93"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прекршочна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Прекршочната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плаќање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плаќање.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прими</w:t>
      </w:r>
      <w:r w:rsidR="00E003C4" w:rsidRPr="00C9671E">
        <w:rPr>
          <w:rFonts w:ascii="Times New Roman" w:hAnsi="Times New Roman" w:cs="Times New Roman"/>
          <w:sz w:val="24"/>
        </w:rPr>
        <w:t xml:space="preserve"> </w:t>
      </w:r>
      <w:r w:rsidRPr="00C9671E">
        <w:rPr>
          <w:rFonts w:ascii="Times New Roman" w:hAnsi="Times New Roman" w:cs="Times New Roman"/>
          <w:sz w:val="24"/>
        </w:rPr>
        <w:t>1411</w:t>
      </w:r>
      <w:r w:rsidR="00E003C4" w:rsidRPr="00C9671E">
        <w:rPr>
          <w:rFonts w:ascii="Times New Roman" w:hAnsi="Times New Roman" w:cs="Times New Roman"/>
          <w:sz w:val="24"/>
        </w:rPr>
        <w:t xml:space="preserve"> </w:t>
      </w:r>
      <w:r w:rsidRPr="00C9671E">
        <w:rPr>
          <w:rFonts w:ascii="Times New Roman" w:hAnsi="Times New Roman" w:cs="Times New Roman"/>
          <w:sz w:val="24"/>
        </w:rPr>
        <w:t>изјави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проверка.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веб-страницата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достапни</w:t>
      </w:r>
      <w:r w:rsidR="00E003C4" w:rsidRPr="00C9671E">
        <w:rPr>
          <w:rFonts w:ascii="Times New Roman" w:hAnsi="Times New Roman" w:cs="Times New Roman"/>
          <w:sz w:val="24"/>
        </w:rPr>
        <w:t xml:space="preserve"> </w:t>
      </w:r>
      <w:r w:rsidRPr="00C9671E">
        <w:rPr>
          <w:rFonts w:ascii="Times New Roman" w:hAnsi="Times New Roman" w:cs="Times New Roman"/>
          <w:sz w:val="24"/>
        </w:rPr>
        <w:t>7.758</w:t>
      </w:r>
      <w:r w:rsidR="00E003C4" w:rsidRPr="00C9671E">
        <w:rPr>
          <w:rFonts w:ascii="Times New Roman" w:hAnsi="Times New Roman" w:cs="Times New Roman"/>
          <w:sz w:val="24"/>
        </w:rPr>
        <w:t xml:space="preserve"> </w:t>
      </w:r>
      <w:r w:rsidRPr="00C9671E">
        <w:rPr>
          <w:rFonts w:ascii="Times New Roman" w:hAnsi="Times New Roman" w:cs="Times New Roman"/>
          <w:sz w:val="24"/>
        </w:rPr>
        <w:t>анкетни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листови</w:t>
      </w:r>
      <w:r w:rsidR="00E003C4" w:rsidRPr="00C9671E">
        <w:rPr>
          <w:rFonts w:ascii="Times New Roman" w:hAnsi="Times New Roman" w:cs="Times New Roman"/>
          <w:sz w:val="24"/>
        </w:rPr>
        <w:t xml:space="preserve"> </w:t>
      </w:r>
      <w:r w:rsidRPr="00C9671E">
        <w:rPr>
          <w:rFonts w:ascii="Times New Roman" w:hAnsi="Times New Roman" w:cs="Times New Roman"/>
          <w:sz w:val="24"/>
        </w:rPr>
        <w:t>(7.362</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2.006</w:t>
      </w:r>
      <w:r w:rsidR="00E003C4" w:rsidRPr="00C9671E">
        <w:rPr>
          <w:rFonts w:ascii="Times New Roman" w:hAnsi="Times New Roman" w:cs="Times New Roman"/>
          <w:sz w:val="24"/>
        </w:rPr>
        <w:t xml:space="preserve"> </w:t>
      </w:r>
      <w:r w:rsidRPr="00C9671E">
        <w:rPr>
          <w:rFonts w:ascii="Times New Roman" w:hAnsi="Times New Roman" w:cs="Times New Roman"/>
          <w:sz w:val="24"/>
        </w:rPr>
        <w:t>анкетни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листови.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нерегуларности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b/>
          <w:sz w:val="24"/>
        </w:rPr>
        <w:t>анкетните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листови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w:t>
      </w:r>
      <w:r w:rsidR="00D62A6E" w:rsidRPr="00C9671E">
        <w:rPr>
          <w:rFonts w:ascii="Times New Roman" w:hAnsi="Times New Roman" w:cs="Times New Roman"/>
          <w:sz w:val="24"/>
        </w:rPr>
        <w:t>де</w:t>
      </w:r>
      <w:r w:rsidR="00E003C4" w:rsidRPr="00C9671E">
        <w:rPr>
          <w:rFonts w:ascii="Times New Roman" w:hAnsi="Times New Roman" w:cs="Times New Roman"/>
          <w:sz w:val="24"/>
        </w:rPr>
        <w:t xml:space="preserve"> </w:t>
      </w:r>
      <w:r w:rsidRPr="00C9671E">
        <w:rPr>
          <w:rFonts w:ascii="Times New Roman" w:hAnsi="Times New Roman" w:cs="Times New Roman"/>
          <w:sz w:val="24"/>
        </w:rPr>
        <w:t>86</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прекршочни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неподнесување/задоцнето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непријавено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29</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прекршочни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823DC0" w:rsidRPr="00C9671E">
        <w:rPr>
          <w:rFonts w:ascii="Times New Roman" w:hAnsi="Times New Roman" w:cs="Times New Roman"/>
          <w:sz w:val="24"/>
        </w:rPr>
        <w:t>платени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парични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казни.</w:t>
      </w:r>
    </w:p>
    <w:p w14:paraId="57799B37"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вкупно</w:t>
      </w:r>
      <w:r w:rsidR="00E003C4" w:rsidRPr="00C9671E">
        <w:rPr>
          <w:rFonts w:ascii="Times New Roman" w:hAnsi="Times New Roman" w:cs="Times New Roman"/>
          <w:sz w:val="24"/>
        </w:rPr>
        <w:t xml:space="preserve"> </w:t>
      </w:r>
      <w:r w:rsidRPr="00C9671E">
        <w:rPr>
          <w:rFonts w:ascii="Times New Roman" w:hAnsi="Times New Roman" w:cs="Times New Roman"/>
          <w:sz w:val="24"/>
        </w:rPr>
        <w:t>599</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корупција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16</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583</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доставени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404</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засновани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седум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постоење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сомнение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повреда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иницијативи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p>
    <w:p w14:paraId="6F446B63"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Заради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(ГРЕКО)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петтиот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круг</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евалуација,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З</w:t>
      </w:r>
      <w:r w:rsidRPr="00C9671E">
        <w:rPr>
          <w:rFonts w:ascii="Times New Roman" w:hAnsi="Times New Roman" w:cs="Times New Roman"/>
          <w:sz w:val="24"/>
        </w:rPr>
        <w:t>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З</w:t>
      </w:r>
      <w:r w:rsidRPr="00C9671E">
        <w:rPr>
          <w:rFonts w:ascii="Times New Roman" w:hAnsi="Times New Roman" w:cs="Times New Roman"/>
          <w:sz w:val="24"/>
        </w:rPr>
        <w:t>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анкетни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листови,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забраната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вработените</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Pr="00C9671E">
        <w:rPr>
          <w:rFonts w:ascii="Times New Roman" w:hAnsi="Times New Roman" w:cs="Times New Roman"/>
          <w:sz w:val="24"/>
        </w:rPr>
        <w:t>тест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објективни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критериуми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Б</w:t>
      </w:r>
      <w:r w:rsidRPr="00C9671E">
        <w:rPr>
          <w:rFonts w:ascii="Times New Roman" w:hAnsi="Times New Roman" w:cs="Times New Roman"/>
          <w:sz w:val="24"/>
        </w:rPr>
        <w:t>ирото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безбе</w:t>
      </w:r>
      <w:r w:rsidR="00823DC0" w:rsidRPr="00C9671E">
        <w:rPr>
          <w:rFonts w:ascii="Times New Roman" w:hAnsi="Times New Roman" w:cs="Times New Roman"/>
          <w:sz w:val="24"/>
        </w:rPr>
        <w:t>дност</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(началник</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полицијата).</w:t>
      </w:r>
    </w:p>
    <w:p w14:paraId="2ED8B013"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Институционална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рамка</w:t>
      </w:r>
    </w:p>
    <w:p w14:paraId="49E78D29" w14:textId="77777777" w:rsidR="001602DC" w:rsidRPr="00C9671E" w:rsidRDefault="0012222D"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јануари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w:t>
      </w:r>
      <w:r w:rsidR="001602DC" w:rsidRPr="00C9671E">
        <w:rPr>
          <w:rFonts w:ascii="Times New Roman" w:hAnsi="Times New Roman" w:cs="Times New Roman"/>
          <w:sz w:val="24"/>
        </w:rPr>
        <w:t>лада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воспостави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w:t>
      </w:r>
      <w:r w:rsidRPr="00C9671E">
        <w:rPr>
          <w:rFonts w:ascii="Times New Roman" w:hAnsi="Times New Roman" w:cs="Times New Roman"/>
          <w:sz w:val="24"/>
        </w:rPr>
        <w:t>озиција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заменик-претседател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w:t>
      </w:r>
      <w:r w:rsidR="001602DC" w:rsidRPr="00C9671E">
        <w:rPr>
          <w:rFonts w:ascii="Times New Roman" w:hAnsi="Times New Roman" w:cs="Times New Roman"/>
          <w:sz w:val="24"/>
        </w:rPr>
        <w:t>ладата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задолжен</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политики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владеење.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акцискиот</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борба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насловен</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„Акција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21“</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тек,</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планирано.</w:t>
      </w:r>
    </w:p>
    <w:p w14:paraId="531F49F1" w14:textId="77777777" w:rsidR="001602DC" w:rsidRPr="00C9671E" w:rsidRDefault="001602DC" w:rsidP="0012222D">
      <w:pPr>
        <w:keepNext/>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rPr>
        <w:t>Превентивни</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мерки</w:t>
      </w:r>
    </w:p>
    <w:p w14:paraId="7264798A"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проактивно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исполнува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улога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капацитет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проверка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изјавите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изјавите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состојба.</w:t>
      </w:r>
      <w:r w:rsidR="00E003C4" w:rsidRPr="00C9671E">
        <w:rPr>
          <w:rFonts w:ascii="Times New Roman" w:hAnsi="Times New Roman" w:cs="Times New Roman"/>
          <w:sz w:val="24"/>
        </w:rPr>
        <w:t xml:space="preserve"> </w:t>
      </w:r>
      <w:bookmarkStart w:id="65" w:name="_Hlk114691743"/>
      <w:r w:rsidRPr="00C9671E">
        <w:rPr>
          <w:rFonts w:ascii="Times New Roman" w:hAnsi="Times New Roman" w:cs="Times New Roman"/>
          <w:sz w:val="24"/>
        </w:rPr>
        <w:t>Меѓутоа,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вложат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заклучоците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bookmarkEnd w:id="65"/>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C52045"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зајакната,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поддржана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снабдена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вкупно</w:t>
      </w:r>
      <w:r w:rsidR="00E003C4" w:rsidRPr="00C9671E">
        <w:rPr>
          <w:rFonts w:ascii="Times New Roman" w:hAnsi="Times New Roman" w:cs="Times New Roman"/>
          <w:sz w:val="24"/>
        </w:rPr>
        <w:t xml:space="preserve"> </w:t>
      </w:r>
      <w:r w:rsidRPr="00C9671E">
        <w:rPr>
          <w:rFonts w:ascii="Times New Roman" w:hAnsi="Times New Roman" w:cs="Times New Roman"/>
          <w:sz w:val="24"/>
        </w:rPr>
        <w:t>34</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64.</w:t>
      </w:r>
      <w:r w:rsidR="00E003C4" w:rsidRPr="00C9671E">
        <w:rPr>
          <w:rFonts w:ascii="Times New Roman" w:hAnsi="Times New Roman" w:cs="Times New Roman"/>
          <w:sz w:val="24"/>
        </w:rPr>
        <w:t xml:space="preserve"> </w:t>
      </w:r>
      <w:r w:rsidRPr="00C9671E">
        <w:rPr>
          <w:rFonts w:ascii="Times New Roman" w:hAnsi="Times New Roman" w:cs="Times New Roman"/>
          <w:sz w:val="24"/>
        </w:rPr>
        <w:t>Воспоставени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ИТ</w:t>
      </w:r>
      <w:r w:rsidR="00494A6A" w:rsidRPr="00C9671E">
        <w:rPr>
          <w:rFonts w:ascii="Times New Roman" w:hAnsi="Times New Roman" w:cs="Times New Roman"/>
          <w:sz w:val="24"/>
        </w:rPr>
        <w:t>-</w:t>
      </w:r>
      <w:r w:rsidRPr="00C9671E">
        <w:rPr>
          <w:rFonts w:ascii="Times New Roman" w:hAnsi="Times New Roman" w:cs="Times New Roman"/>
          <w:sz w:val="24"/>
        </w:rPr>
        <w:t>софтверски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решенија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споделувањето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укажувачите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p>
    <w:p w14:paraId="13979EEB"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Продолжуваат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транспарентноста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насоки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Заклучно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66</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општини,</w:t>
      </w:r>
      <w:r w:rsidR="00E003C4" w:rsidRPr="00C9671E">
        <w:rPr>
          <w:rFonts w:ascii="Times New Roman" w:hAnsi="Times New Roman" w:cs="Times New Roman"/>
          <w:sz w:val="24"/>
        </w:rPr>
        <w:t xml:space="preserve"> </w:t>
      </w:r>
      <w:r w:rsidRPr="00C9671E">
        <w:rPr>
          <w:rFonts w:ascii="Times New Roman" w:hAnsi="Times New Roman" w:cs="Times New Roman"/>
          <w:sz w:val="24"/>
        </w:rPr>
        <w:t>15</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донесоа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одржуваа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кампањи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подигање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укажувачите,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поопшто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борбата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корупцијата.</w:t>
      </w:r>
    </w:p>
    <w:p w14:paraId="3AB8538B"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Царинската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К</w:t>
      </w:r>
      <w:r w:rsidRPr="00C9671E">
        <w:rPr>
          <w:rFonts w:ascii="Times New Roman" w:hAnsi="Times New Roman" w:cs="Times New Roman"/>
          <w:sz w:val="24"/>
        </w:rPr>
        <w:t>одекс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царинските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септември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редовна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антикорупциска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укажувачите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етиката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персоналот.</w:t>
      </w:r>
    </w:p>
    <w:p w14:paraId="4C69E1D9" w14:textId="77777777" w:rsidR="001602DC" w:rsidRPr="00C9671E" w:rsidRDefault="001602DC" w:rsidP="0012222D">
      <w:pPr>
        <w:keepNext/>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rPr>
        <w:t>Спроведување</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на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законот</w:t>
      </w:r>
    </w:p>
    <w:p w14:paraId="150A2052"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Главните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занимаваат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гонење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(ОЈОГОКК)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Одделот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сузбивање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сериозен</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криминал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ОЈОГОКК</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наследи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дел</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профил</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(СЈО).</w:t>
      </w:r>
      <w:r w:rsidR="00E003C4" w:rsidRPr="00C9671E">
        <w:rPr>
          <w:rFonts w:ascii="Times New Roman" w:hAnsi="Times New Roman" w:cs="Times New Roman"/>
          <w:sz w:val="24"/>
        </w:rPr>
        <w:t xml:space="preserve"> </w:t>
      </w:r>
      <w:r w:rsidRPr="00C9671E">
        <w:rPr>
          <w:rFonts w:ascii="Times New Roman" w:hAnsi="Times New Roman" w:cs="Times New Roman"/>
          <w:sz w:val="24"/>
        </w:rPr>
        <w:t>ОЈОГОКК</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преселено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доделените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простории.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центар/судската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имаат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доволни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висок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профил.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пет</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ОЈОГОКК.</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C371CE"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недоволен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w:t>
      </w:r>
      <w:r w:rsidR="00823DC0" w:rsidRPr="00C9671E">
        <w:rPr>
          <w:rFonts w:ascii="Times New Roman" w:hAnsi="Times New Roman" w:cs="Times New Roman"/>
          <w:sz w:val="24"/>
        </w:rPr>
        <w:t>рупција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организиран</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криминал.</w:t>
      </w:r>
    </w:p>
    <w:p w14:paraId="40869F23"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Главниот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суспендираше</w:t>
      </w:r>
      <w:r w:rsidR="00E003C4" w:rsidRPr="00C9671E">
        <w:rPr>
          <w:rFonts w:ascii="Times New Roman" w:hAnsi="Times New Roman" w:cs="Times New Roman"/>
          <w:sz w:val="24"/>
        </w:rPr>
        <w:t xml:space="preserve"> </w:t>
      </w:r>
      <w:r w:rsidRPr="00C9671E">
        <w:rPr>
          <w:rFonts w:ascii="Times New Roman" w:hAnsi="Times New Roman" w:cs="Times New Roman"/>
          <w:sz w:val="24"/>
        </w:rPr>
        <w:t>шефицата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ОЈОГОКК</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август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која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поведена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дисциплинска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поранешниот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в.</w:t>
      </w:r>
      <w:r w:rsidR="00E003C4" w:rsidRPr="00C9671E">
        <w:rPr>
          <w:rFonts w:ascii="Times New Roman" w:hAnsi="Times New Roman" w:cs="Times New Roman"/>
          <w:sz w:val="24"/>
        </w:rPr>
        <w:t xml:space="preserve"> </w:t>
      </w:r>
      <w:r w:rsidRPr="00C9671E">
        <w:rPr>
          <w:rFonts w:ascii="Times New Roman" w:hAnsi="Times New Roman" w:cs="Times New Roman"/>
          <w:sz w:val="24"/>
        </w:rPr>
        <w:t>д.</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color w:val="000000"/>
          <w:sz w:val="24"/>
        </w:rPr>
        <w:t>Советот</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јавни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обвинители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(CPP)</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ја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одби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како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неоснована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жалбата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шефицата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на</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ОЈОГОКК,</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што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го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потврди</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нејзиното</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суспендирање</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од</w:t>
      </w:r>
      <w:r w:rsidR="00E003C4" w:rsidRPr="00C9671E">
        <w:rPr>
          <w:rFonts w:ascii="Times New Roman" w:hAnsi="Times New Roman" w:cs="Times New Roman"/>
          <w:color w:val="000000"/>
          <w:sz w:val="24"/>
        </w:rPr>
        <w:t xml:space="preserve"> </w:t>
      </w:r>
      <w:r w:rsidRPr="00C9671E">
        <w:rPr>
          <w:rFonts w:ascii="Times New Roman" w:hAnsi="Times New Roman" w:cs="Times New Roman"/>
          <w:color w:val="000000"/>
          <w:sz w:val="24"/>
        </w:rPr>
        <w:t>функција.</w:t>
      </w:r>
    </w:p>
    <w:p w14:paraId="0793E825" w14:textId="77777777" w:rsidR="001602DC" w:rsidRPr="00C9671E" w:rsidRDefault="001602DC" w:rsidP="0012222D">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конфискувани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вредност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приближно</w:t>
      </w:r>
      <w:r w:rsidR="00E003C4" w:rsidRPr="00C9671E">
        <w:rPr>
          <w:rFonts w:ascii="Times New Roman" w:hAnsi="Times New Roman" w:cs="Times New Roman"/>
          <w:sz w:val="24"/>
        </w:rPr>
        <w:t xml:space="preserve"> </w:t>
      </w:r>
      <w:r w:rsidRPr="00C9671E">
        <w:rPr>
          <w:rFonts w:ascii="Times New Roman" w:hAnsi="Times New Roman" w:cs="Times New Roman"/>
          <w:sz w:val="24"/>
        </w:rPr>
        <w:t>256.000</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наводна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привремени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биле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замрзнати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недвижности,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движен</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недвижен</w:t>
      </w:r>
      <w:r w:rsidR="00E003C4" w:rsidRPr="00C9671E">
        <w:rPr>
          <w:rFonts w:ascii="Times New Roman" w:hAnsi="Times New Roman" w:cs="Times New Roman"/>
          <w:sz w:val="24"/>
        </w:rPr>
        <w:t xml:space="preserve"> </w:t>
      </w:r>
      <w:r w:rsidRPr="00C9671E">
        <w:rPr>
          <w:rFonts w:ascii="Times New Roman" w:hAnsi="Times New Roman" w:cs="Times New Roman"/>
          <w:sz w:val="24"/>
        </w:rPr>
        <w:t>имот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акции.</w:t>
      </w:r>
    </w:p>
    <w:p w14:paraId="503D9288" w14:textId="77777777" w:rsidR="001602DC" w:rsidRPr="00C9671E" w:rsidRDefault="001602DC" w:rsidP="0012222D">
      <w:pPr>
        <w:keepNext/>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u w:val="single"/>
        </w:rPr>
        <w:t>Правна</w:t>
      </w:r>
      <w:r w:rsidR="00E003C4" w:rsidRPr="00C9671E">
        <w:rPr>
          <w:rFonts w:ascii="Times New Roman" w:hAnsi="Times New Roman" w:cs="Times New Roman"/>
          <w:sz w:val="24"/>
          <w:u w:val="single"/>
        </w:rPr>
        <w:t xml:space="preserve"> </w:t>
      </w:r>
      <w:r w:rsidRPr="00C9671E">
        <w:rPr>
          <w:rFonts w:ascii="Times New Roman" w:hAnsi="Times New Roman" w:cs="Times New Roman"/>
          <w:sz w:val="24"/>
          <w:u w:val="single"/>
        </w:rPr>
        <w:t>рамка</w:t>
      </w:r>
    </w:p>
    <w:p w14:paraId="652B42FF"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меѓународни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антикорупциски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Обединетите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p>
    <w:p w14:paraId="47B61770"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финансирање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политичките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начин</w:t>
      </w:r>
      <w:r w:rsidR="00E003C4" w:rsidRPr="00C9671E">
        <w:rPr>
          <w:rFonts w:ascii="Times New Roman" w:hAnsi="Times New Roman" w:cs="Times New Roman"/>
          <w:sz w:val="24"/>
        </w:rPr>
        <w:t xml:space="preserve"> </w:t>
      </w:r>
      <w:r w:rsidRPr="00C9671E">
        <w:rPr>
          <w:rFonts w:ascii="Times New Roman" w:hAnsi="Times New Roman" w:cs="Times New Roman"/>
          <w:sz w:val="24"/>
        </w:rPr>
        <w:t>може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нив</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законик</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правилата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кампањи.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(ДЗР)</w:t>
      </w:r>
      <w:r w:rsidR="00E003C4" w:rsidRPr="00C9671E">
        <w:rPr>
          <w:rFonts w:ascii="Times New Roman" w:hAnsi="Times New Roman" w:cs="Times New Roman"/>
          <w:sz w:val="24"/>
        </w:rPr>
        <w:t xml:space="preserve"> </w:t>
      </w:r>
      <w:r w:rsidRPr="00C9671E">
        <w:rPr>
          <w:rFonts w:ascii="Times New Roman" w:hAnsi="Times New Roman" w:cs="Times New Roman"/>
          <w:sz w:val="24"/>
        </w:rPr>
        <w:t>врши</w:t>
      </w:r>
      <w:r w:rsidR="00E003C4" w:rsidRPr="00C9671E">
        <w:rPr>
          <w:rFonts w:ascii="Times New Roman" w:hAnsi="Times New Roman" w:cs="Times New Roman"/>
          <w:sz w:val="24"/>
        </w:rPr>
        <w:t xml:space="preserve"> </w:t>
      </w:r>
      <w:r w:rsidRPr="00C9671E">
        <w:rPr>
          <w:rFonts w:ascii="Times New Roman" w:hAnsi="Times New Roman" w:cs="Times New Roman"/>
          <w:i/>
          <w:sz w:val="24"/>
        </w:rPr>
        <w:t>екс-пост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проверки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годишни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веб-страница.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локалните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(ДИК)</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доставени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седум</w:t>
      </w:r>
      <w:r w:rsidR="00E003C4" w:rsidRPr="00C9671E">
        <w:rPr>
          <w:rFonts w:ascii="Times New Roman" w:hAnsi="Times New Roman" w:cs="Times New Roman"/>
          <w:sz w:val="24"/>
        </w:rPr>
        <w:t xml:space="preserve"> </w:t>
      </w:r>
      <w:r w:rsidRPr="00C9671E">
        <w:rPr>
          <w:rFonts w:ascii="Times New Roman" w:hAnsi="Times New Roman" w:cs="Times New Roman"/>
          <w:sz w:val="24"/>
        </w:rPr>
        <w:t>ревизорски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p>
    <w:p w14:paraId="2FAE059F"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слободен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пристап</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до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информации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од</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јавен</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карактер</w:t>
      </w:r>
      <w:r w:rsidR="00E003C4" w:rsidRPr="00C9671E">
        <w:rPr>
          <w:rFonts w:ascii="Times New Roman" w:hAnsi="Times New Roman" w:cs="Times New Roman"/>
          <w:sz w:val="24"/>
        </w:rPr>
        <w:t xml:space="preserve"> </w:t>
      </w:r>
      <w:r w:rsidRPr="00C9671E">
        <w:rPr>
          <w:rFonts w:ascii="Times New Roman" w:hAnsi="Times New Roman" w:cs="Times New Roman"/>
          <w:sz w:val="24"/>
        </w:rPr>
        <w:t>им</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барателите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добијат</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партии.</w:t>
      </w:r>
    </w:p>
    <w:p w14:paraId="421A67BF" w14:textId="77777777" w:rsidR="001602DC" w:rsidRPr="00C9671E" w:rsidRDefault="001602DC" w:rsidP="0012222D">
      <w:pPr>
        <w:spacing w:after="120" w:line="240" w:lineRule="auto"/>
        <w:jc w:val="both"/>
        <w:rPr>
          <w:rFonts w:ascii="Times New Roman" w:hAnsi="Times New Roman" w:cs="Times New Roman"/>
          <w:bCs/>
          <w:i/>
          <w:sz w:val="24"/>
          <w:szCs w:val="24"/>
        </w:rPr>
      </w:pPr>
      <w:r w:rsidRPr="00C9671E">
        <w:rPr>
          <w:rFonts w:ascii="Times New Roman" w:hAnsi="Times New Roman" w:cs="Times New Roman"/>
          <w:sz w:val="24"/>
        </w:rPr>
        <w:lastRenderedPageBreak/>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лобирање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подготви</w:t>
      </w:r>
      <w:r w:rsidR="00E003C4" w:rsidRPr="00C9671E">
        <w:rPr>
          <w:rFonts w:ascii="Times New Roman" w:hAnsi="Times New Roman" w:cs="Times New Roman"/>
          <w:sz w:val="24"/>
        </w:rPr>
        <w:t xml:space="preserve"> </w:t>
      </w:r>
      <w:r w:rsidRPr="00C9671E">
        <w:rPr>
          <w:rFonts w:ascii="Times New Roman" w:hAnsi="Times New Roman" w:cs="Times New Roman"/>
          <w:sz w:val="24"/>
        </w:rPr>
        <w:t>влегувањето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проширува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ДКСК</w:t>
      </w:r>
      <w:r w:rsidR="00E003C4" w:rsidRPr="00C9671E">
        <w:rPr>
          <w:rFonts w:ascii="Times New Roman" w:hAnsi="Times New Roman" w:cs="Times New Roman"/>
          <w:sz w:val="24"/>
        </w:rPr>
        <w:t xml:space="preserve"> </w:t>
      </w:r>
      <w:r w:rsidRPr="00C9671E">
        <w:rPr>
          <w:rFonts w:ascii="Times New Roman" w:hAnsi="Times New Roman" w:cs="Times New Roman"/>
          <w:sz w:val="24"/>
        </w:rPr>
        <w:t>додавајќи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водење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регистар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лобисти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лобистички</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кој</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укажувачи</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усогласува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i/>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ЕУ,</w:t>
      </w:r>
      <w:r w:rsidR="00E003C4" w:rsidRPr="00C9671E">
        <w:rPr>
          <w:rFonts w:ascii="Times New Roman" w:hAnsi="Times New Roman" w:cs="Times New Roman"/>
          <w:sz w:val="24"/>
        </w:rPr>
        <w:t xml:space="preserve"> </w:t>
      </w:r>
      <w:r w:rsidR="00E11CE9"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предвидување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лице</w:t>
      </w:r>
      <w:r w:rsidR="00E003C4" w:rsidRPr="00C9671E">
        <w:rPr>
          <w:rFonts w:ascii="Times New Roman" w:hAnsi="Times New Roman" w:cs="Times New Roman"/>
          <w:sz w:val="24"/>
        </w:rPr>
        <w:t xml:space="preserve"> </w:t>
      </w:r>
      <w:r w:rsidR="00CD1880"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дало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учествувало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одмазда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поместување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товарот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докажување.</w:t>
      </w:r>
    </w:p>
    <w:p w14:paraId="0A0AF311" w14:textId="77777777" w:rsidR="001602DC" w:rsidRPr="00C9671E" w:rsidRDefault="001602DC" w:rsidP="0012222D">
      <w:pPr>
        <w:spacing w:after="120" w:line="240" w:lineRule="auto"/>
        <w:jc w:val="both"/>
        <w:rPr>
          <w:rFonts w:ascii="Times New Roman" w:hAnsi="Times New Roman" w:cs="Times New Roman"/>
          <w:bCs/>
          <w:i/>
          <w:sz w:val="24"/>
          <w:szCs w:val="24"/>
        </w:rPr>
      </w:pPr>
      <w:r w:rsidRPr="00C9671E">
        <w:rPr>
          <w:rFonts w:ascii="Times New Roman" w:hAnsi="Times New Roman" w:cs="Times New Roman"/>
          <w:i/>
          <w:sz w:val="24"/>
        </w:rPr>
        <w:t>Страте</w:t>
      </w:r>
      <w:r w:rsidR="00CD1880" w:rsidRPr="00C9671E">
        <w:rPr>
          <w:rFonts w:ascii="Times New Roman" w:hAnsi="Times New Roman" w:cs="Times New Roman"/>
          <w:i/>
          <w:sz w:val="24"/>
        </w:rPr>
        <w:t>гис</w:t>
      </w:r>
      <w:r w:rsidRPr="00C9671E">
        <w:rPr>
          <w:rFonts w:ascii="Times New Roman" w:hAnsi="Times New Roman" w:cs="Times New Roman"/>
          <w:i/>
          <w:sz w:val="24"/>
        </w:rPr>
        <w:t>ка</w:t>
      </w:r>
      <w:r w:rsidR="00E003C4" w:rsidRPr="00C9671E">
        <w:rPr>
          <w:rFonts w:ascii="Times New Roman" w:hAnsi="Times New Roman" w:cs="Times New Roman"/>
          <w:i/>
          <w:sz w:val="24"/>
        </w:rPr>
        <w:t xml:space="preserve"> </w:t>
      </w:r>
      <w:r w:rsidRPr="00C9671E">
        <w:rPr>
          <w:rFonts w:ascii="Times New Roman" w:hAnsi="Times New Roman" w:cs="Times New Roman"/>
          <w:i/>
          <w:sz w:val="24"/>
        </w:rPr>
        <w:t>рамка</w:t>
      </w:r>
    </w:p>
    <w:p w14:paraId="611B7D22"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интереси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00CD1880"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одвива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бавно.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w:t>
      </w:r>
      <w:r w:rsidR="00E003C4" w:rsidRPr="00C9671E">
        <w:rPr>
          <w:rFonts w:ascii="Times New Roman" w:hAnsi="Times New Roman" w:cs="Times New Roman"/>
          <w:sz w:val="24"/>
        </w:rPr>
        <w:t xml:space="preserve"> </w:t>
      </w:r>
      <w:r w:rsidRPr="00C9671E">
        <w:rPr>
          <w:rFonts w:ascii="Times New Roman" w:hAnsi="Times New Roman" w:cs="Times New Roman"/>
          <w:sz w:val="24"/>
        </w:rPr>
        <w:t>20</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планирани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крајот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882722"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реализира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ресорните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министерства.</w:t>
      </w:r>
    </w:p>
    <w:p w14:paraId="769C76C3" w14:textId="77777777" w:rsidR="001602DC" w:rsidRPr="00C9671E" w:rsidRDefault="001602DC" w:rsidP="0012222D">
      <w:pPr>
        <w:keepNext/>
        <w:spacing w:after="120" w:line="240" w:lineRule="auto"/>
        <w:jc w:val="both"/>
        <w:rPr>
          <w:rFonts w:ascii="Times New Roman" w:hAnsi="Times New Roman" w:cs="Times New Roman"/>
          <w:b/>
          <w:sz w:val="24"/>
          <w:szCs w:val="24"/>
        </w:rPr>
      </w:pPr>
      <w:r w:rsidRPr="00C9671E">
        <w:rPr>
          <w:rFonts w:ascii="Times New Roman" w:hAnsi="Times New Roman" w:cs="Times New Roman"/>
          <w:b/>
          <w:sz w:val="24"/>
        </w:rPr>
        <w:t>Фундаментални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права</w:t>
      </w:r>
      <w:r w:rsidR="00E003C4" w:rsidRPr="00C9671E">
        <w:rPr>
          <w:rFonts w:ascii="Times New Roman" w:hAnsi="Times New Roman" w:cs="Times New Roman"/>
          <w:b/>
          <w:sz w:val="24"/>
        </w:rPr>
        <w:t xml:space="preserve"> </w:t>
      </w:r>
    </w:p>
    <w:p w14:paraId="6B8508E1" w14:textId="3AF3CF75"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фундаменталните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деинституционализација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преселувањето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попреченост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труд</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инвестира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жртвите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родово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спроведат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семејно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Забележани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континуирани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родовата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интеграција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почитувањето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жените.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тортура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третманот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лишени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соодветно</w:t>
      </w:r>
      <w:r w:rsidR="00E003C4" w:rsidRPr="00C9671E">
        <w:rPr>
          <w:rFonts w:ascii="Times New Roman" w:hAnsi="Times New Roman" w:cs="Times New Roman"/>
          <w:sz w:val="24"/>
        </w:rPr>
        <w:t xml:space="preserve"> </w:t>
      </w:r>
      <w:r w:rsidR="00D61F59">
        <w:rPr>
          <w:rFonts w:ascii="Times New Roman" w:hAnsi="Times New Roman" w:cs="Times New Roman"/>
          <w:sz w:val="24"/>
        </w:rPr>
        <w:t>надминати</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омраза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акциски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одредбите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Истанбулската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Надворешниот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механизам</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недостиг</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w:t>
      </w:r>
      <w:r w:rsidR="00823DC0" w:rsidRPr="00C9671E">
        <w:rPr>
          <w:rFonts w:ascii="Times New Roman" w:hAnsi="Times New Roman" w:cs="Times New Roman"/>
          <w:sz w:val="24"/>
        </w:rPr>
        <w:t>зации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општество.</w:t>
      </w:r>
    </w:p>
    <w:p w14:paraId="69B28B42" w14:textId="77777777" w:rsidR="001602DC" w:rsidRPr="00C9671E" w:rsidRDefault="001602DC" w:rsidP="0012222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Бидејќи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само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делумно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следната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треба:</w:t>
      </w:r>
    </w:p>
    <w:p w14:paraId="019555FF"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неопходните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човечки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ресурси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ѝ</w:t>
      </w:r>
      <w:r w:rsidR="00E003C4" w:rsidRPr="00C9671E">
        <w:rPr>
          <w:rFonts w:ascii="Times New Roman" w:hAnsi="Times New Roman" w:cs="Times New Roman"/>
          <w:sz w:val="24"/>
        </w:rPr>
        <w:t xml:space="preserve"> </w:t>
      </w:r>
      <w:r w:rsidRPr="00C9671E">
        <w:rPr>
          <w:rFonts w:ascii="Times New Roman" w:hAnsi="Times New Roman" w:cs="Times New Roman"/>
          <w:sz w:val="24"/>
        </w:rPr>
        <w:t>овозможуваат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дискриминација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p>
    <w:p w14:paraId="5910C425" w14:textId="77777777" w:rsidR="001602DC" w:rsidRPr="00C9671E" w:rsidRDefault="00CD1880"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меѓународните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набљудување,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лицата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притвор/затвор</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драматичните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услови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затворите</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најголема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итност</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зајакн</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напорите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промоција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алтернативи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затворањето;</w:t>
      </w:r>
    </w:p>
    <w:p w14:paraId="7341953C" w14:textId="77777777" w:rsidR="001602DC" w:rsidRPr="00C9671E" w:rsidRDefault="001602DC" w:rsidP="0012222D">
      <w:pPr>
        <w:numPr>
          <w:ilvl w:val="0"/>
          <w:numId w:val="1"/>
        </w:num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поддршка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ранливите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категории</w:t>
      </w:r>
      <w:r w:rsidR="00E003C4" w:rsidRPr="00C9671E">
        <w:rPr>
          <w:rFonts w:ascii="Times New Roman" w:hAnsi="Times New Roman" w:cs="Times New Roman"/>
          <w:sz w:val="24"/>
        </w:rPr>
        <w:t xml:space="preserve"> </w:t>
      </w:r>
      <w:r w:rsidRPr="00C9671E">
        <w:rPr>
          <w:rFonts w:ascii="Times New Roman" w:hAnsi="Times New Roman" w:cs="Times New Roman"/>
          <w:sz w:val="24"/>
        </w:rPr>
        <w:t>деца,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децата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жртви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Роми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децата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попреченост.</w:t>
      </w:r>
    </w:p>
    <w:p w14:paraId="36070347" w14:textId="77777777" w:rsidR="001602DC" w:rsidRPr="00C9671E" w:rsidRDefault="001602DC" w:rsidP="0012222D">
      <w:pPr>
        <w:shd w:val="clear" w:color="auto" w:fill="FFFFFF"/>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ратификувано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повеќето</w:t>
      </w:r>
      <w:r w:rsidR="00E003C4" w:rsidRPr="00C9671E">
        <w:rPr>
          <w:rFonts w:ascii="Times New Roman" w:hAnsi="Times New Roman" w:cs="Times New Roman"/>
          <w:sz w:val="24"/>
        </w:rPr>
        <w:t xml:space="preserve"> </w:t>
      </w:r>
      <w:r w:rsidRPr="00C9671E">
        <w:rPr>
          <w:rFonts w:ascii="Times New Roman" w:hAnsi="Times New Roman" w:cs="Times New Roman"/>
          <w:b/>
          <w:sz w:val="24"/>
        </w:rPr>
        <w:t>меѓународни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инструменти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човекови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ратификуваше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Протоколот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108</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автоматската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ноември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стана</w:t>
      </w:r>
      <w:r w:rsidR="00E003C4" w:rsidRPr="00C9671E">
        <w:rPr>
          <w:rFonts w:ascii="Times New Roman" w:hAnsi="Times New Roman" w:cs="Times New Roman"/>
          <w:sz w:val="24"/>
        </w:rPr>
        <w:t xml:space="preserve"> </w:t>
      </w:r>
      <w:r w:rsidRPr="00C9671E">
        <w:rPr>
          <w:rFonts w:ascii="Times New Roman" w:hAnsi="Times New Roman" w:cs="Times New Roman"/>
          <w:sz w:val="24"/>
        </w:rPr>
        <w:t>35-та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w:t>
      </w:r>
      <w:r w:rsidR="00E003C4" w:rsidRPr="00C9671E">
        <w:rPr>
          <w:rFonts w:ascii="Times New Roman" w:hAnsi="Times New Roman" w:cs="Times New Roman"/>
          <w:sz w:val="24"/>
        </w:rPr>
        <w:t xml:space="preserve"> </w:t>
      </w:r>
      <w:r w:rsidRPr="00C9671E">
        <w:rPr>
          <w:rFonts w:ascii="Times New Roman" w:hAnsi="Times New Roman" w:cs="Times New Roman"/>
          <w:sz w:val="24"/>
        </w:rPr>
        <w:t>членка</w:t>
      </w:r>
      <w:r w:rsidR="00E003C4" w:rsidRPr="00C9671E">
        <w:rPr>
          <w:rFonts w:ascii="Times New Roman" w:hAnsi="Times New Roman" w:cs="Times New Roman"/>
          <w:sz w:val="24"/>
        </w:rPr>
        <w:t xml:space="preserve"> </w:t>
      </w:r>
      <w:r w:rsidR="00CD1880"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сојуз</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сеќавање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холокаустот.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Земјата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доставуваше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периодичните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елиминација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форми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дискриминација,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периодичните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детето.</w:t>
      </w:r>
    </w:p>
    <w:p w14:paraId="46158499" w14:textId="77777777" w:rsidR="001602DC" w:rsidRPr="00C9671E" w:rsidRDefault="001602DC" w:rsidP="0012222D">
      <w:pPr>
        <w:spacing w:after="120" w:line="240" w:lineRule="auto"/>
        <w:jc w:val="both"/>
        <w:rPr>
          <w:rFonts w:ascii="Times New Roman" w:hAnsi="Times New Roman" w:cs="Times New Roman"/>
          <w:sz w:val="24"/>
          <w:szCs w:val="24"/>
        </w:rPr>
      </w:pPr>
      <w:bookmarkStart w:id="66" w:name="_Hlk114691826"/>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јуни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b/>
          <w:sz w:val="24"/>
        </w:rPr>
        <w:t>Европскиот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суд</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за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човекови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(ЕСЧП)</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813</w:t>
      </w:r>
      <w:r w:rsidR="00E003C4" w:rsidRPr="00C9671E">
        <w:rPr>
          <w:rFonts w:ascii="Times New Roman" w:hAnsi="Times New Roman" w:cs="Times New Roman"/>
          <w:sz w:val="24"/>
        </w:rPr>
        <w:t xml:space="preserve"> </w:t>
      </w:r>
      <w:r w:rsidR="00B75C97" w:rsidRPr="00C9671E">
        <w:rPr>
          <w:rFonts w:ascii="Times New Roman" w:hAnsi="Times New Roman" w:cs="Times New Roman"/>
          <w:sz w:val="24"/>
        </w:rPr>
        <w:t>барања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ЕСЧП</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изрече</w:t>
      </w:r>
      <w:r w:rsidR="00E003C4" w:rsidRPr="00C9671E">
        <w:rPr>
          <w:rFonts w:ascii="Times New Roman" w:hAnsi="Times New Roman" w:cs="Times New Roman"/>
          <w:sz w:val="24"/>
        </w:rPr>
        <w:t xml:space="preserve"> </w:t>
      </w:r>
      <w:r w:rsidRPr="00C9671E">
        <w:rPr>
          <w:rFonts w:ascii="Times New Roman" w:hAnsi="Times New Roman" w:cs="Times New Roman"/>
          <w:sz w:val="24"/>
        </w:rPr>
        <w:t>11</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кршења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конвенција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човекови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(наспроти</w:t>
      </w:r>
      <w:r w:rsidR="00E003C4" w:rsidRPr="00C9671E">
        <w:rPr>
          <w:rFonts w:ascii="Times New Roman" w:hAnsi="Times New Roman" w:cs="Times New Roman"/>
          <w:sz w:val="24"/>
        </w:rPr>
        <w:t xml:space="preserve"> </w:t>
      </w:r>
      <w:r w:rsidRPr="00C9671E">
        <w:rPr>
          <w:rFonts w:ascii="Times New Roman" w:hAnsi="Times New Roman" w:cs="Times New Roman"/>
          <w:sz w:val="24"/>
        </w:rPr>
        <w:t>14</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правично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судење,</w:t>
      </w:r>
      <w:r w:rsidR="00E003C4" w:rsidRPr="00C9671E">
        <w:rPr>
          <w:rFonts w:ascii="Times New Roman" w:hAnsi="Times New Roman" w:cs="Times New Roman"/>
          <w:sz w:val="24"/>
        </w:rPr>
        <w:t xml:space="preserve"> </w:t>
      </w:r>
      <w:bookmarkStart w:id="67" w:name="_Hlk114691925"/>
      <w:r w:rsidRPr="00C9671E">
        <w:rPr>
          <w:rFonts w:ascii="Times New Roman" w:hAnsi="Times New Roman" w:cs="Times New Roman"/>
          <w:sz w:val="24"/>
        </w:rPr>
        <w:t>забраната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тортура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слободата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изразување.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370</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00B75C97" w:rsidRPr="00C9671E">
        <w:rPr>
          <w:rFonts w:ascii="Times New Roman" w:hAnsi="Times New Roman" w:cs="Times New Roman"/>
          <w:sz w:val="24"/>
        </w:rPr>
        <w:t>барања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распределени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надлежно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одлучување.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моментот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11</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w:t>
      </w:r>
      <w:r w:rsidR="00E003C4" w:rsidRPr="00C9671E">
        <w:rPr>
          <w:rFonts w:ascii="Times New Roman" w:hAnsi="Times New Roman" w:cs="Times New Roman"/>
          <w:sz w:val="24"/>
        </w:rPr>
        <w:t xml:space="preserve"> </w:t>
      </w:r>
      <w:r w:rsidRPr="00C9671E">
        <w:rPr>
          <w:rFonts w:ascii="Times New Roman" w:hAnsi="Times New Roman" w:cs="Times New Roman"/>
          <w:sz w:val="24"/>
        </w:rPr>
        <w:t>засилен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Комитетот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министри</w:t>
      </w:r>
      <w:bookmarkEnd w:id="67"/>
      <w:r w:rsidRPr="00C9671E">
        <w:rPr>
          <w:rFonts w:ascii="Times New Roman" w:hAnsi="Times New Roman" w:cs="Times New Roman"/>
          <w:sz w:val="24"/>
        </w:rPr>
        <w:t>.</w:t>
      </w:r>
    </w:p>
    <w:bookmarkEnd w:id="66"/>
    <w:p w14:paraId="428CB833" w14:textId="303E162C"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централно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унапредување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спроведување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човековите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права</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начелото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застапеност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родова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застапеност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одлагање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назначи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петмина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заменици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ОГО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Буџетот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8</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повисок</w:t>
      </w:r>
      <w:r w:rsidR="00E003C4" w:rsidRPr="00C9671E">
        <w:rPr>
          <w:rFonts w:ascii="Times New Roman" w:hAnsi="Times New Roman" w:cs="Times New Roman"/>
          <w:sz w:val="24"/>
        </w:rPr>
        <w:t xml:space="preserve"> </w:t>
      </w:r>
      <w:r w:rsidRPr="00C9671E">
        <w:rPr>
          <w:rFonts w:ascii="Times New Roman" w:hAnsi="Times New Roman" w:cs="Times New Roman"/>
          <w:sz w:val="24"/>
        </w:rPr>
        <w:t>отколку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април</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одобрена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систематизација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2.686</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кршење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потврдено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35,8</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случаите</w:t>
      </w:r>
      <w:r w:rsidR="00E003C4" w:rsidRPr="00C9671E">
        <w:rPr>
          <w:rFonts w:ascii="Times New Roman" w:hAnsi="Times New Roman" w:cs="Times New Roman"/>
          <w:sz w:val="24"/>
        </w:rPr>
        <w:t xml:space="preserve"> </w:t>
      </w:r>
      <w:r w:rsidRPr="00C9671E">
        <w:rPr>
          <w:rFonts w:ascii="Times New Roman" w:hAnsi="Times New Roman" w:cs="Times New Roman"/>
          <w:sz w:val="24"/>
        </w:rPr>
        <w:t>(2.448</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претежно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детето</w:t>
      </w:r>
      <w:r w:rsidR="00E003C4" w:rsidRPr="00C9671E">
        <w:rPr>
          <w:rFonts w:ascii="Times New Roman" w:hAnsi="Times New Roman" w:cs="Times New Roman"/>
          <w:sz w:val="24"/>
        </w:rPr>
        <w:t xml:space="preserve"> </w:t>
      </w:r>
      <w:r w:rsidRPr="00C9671E">
        <w:rPr>
          <w:rFonts w:ascii="Times New Roman" w:hAnsi="Times New Roman" w:cs="Times New Roman"/>
          <w:sz w:val="24"/>
        </w:rPr>
        <w:t>(18,4</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правосудството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професии</w:t>
      </w:r>
      <w:r w:rsidR="00E003C4" w:rsidRPr="00C9671E">
        <w:rPr>
          <w:rFonts w:ascii="Times New Roman" w:hAnsi="Times New Roman" w:cs="Times New Roman"/>
          <w:sz w:val="24"/>
        </w:rPr>
        <w:t xml:space="preserve"> </w:t>
      </w:r>
      <w:r w:rsidRPr="00C9671E">
        <w:rPr>
          <w:rFonts w:ascii="Times New Roman" w:hAnsi="Times New Roman" w:cs="Times New Roman"/>
          <w:sz w:val="24"/>
        </w:rPr>
        <w:t>(10,9</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(8,8</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потрошувачите</w:t>
      </w:r>
      <w:r w:rsidR="00E003C4" w:rsidRPr="00C9671E">
        <w:rPr>
          <w:rFonts w:ascii="Times New Roman" w:hAnsi="Times New Roman" w:cs="Times New Roman"/>
          <w:sz w:val="24"/>
        </w:rPr>
        <w:t xml:space="preserve"> </w:t>
      </w:r>
      <w:r w:rsidRPr="00C9671E">
        <w:rPr>
          <w:rFonts w:ascii="Times New Roman" w:hAnsi="Times New Roman" w:cs="Times New Roman"/>
          <w:sz w:val="24"/>
        </w:rPr>
        <w:t>(8,3</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финансиите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(6,2</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работничките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w:t>
      </w:r>
      <w:r w:rsidR="00E003C4" w:rsidRPr="00C9671E">
        <w:rPr>
          <w:rFonts w:ascii="Times New Roman" w:hAnsi="Times New Roman" w:cs="Times New Roman"/>
          <w:sz w:val="24"/>
        </w:rPr>
        <w:t xml:space="preserve"> </w:t>
      </w:r>
      <w:r w:rsidRPr="00C9671E">
        <w:rPr>
          <w:rFonts w:ascii="Times New Roman" w:hAnsi="Times New Roman" w:cs="Times New Roman"/>
          <w:sz w:val="24"/>
        </w:rPr>
        <w:t>(5,4</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Канцеларијата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00D61F59">
        <w:rPr>
          <w:rFonts w:ascii="Times New Roman" w:hAnsi="Times New Roman" w:cs="Times New Roman"/>
          <w:sz w:val="24"/>
        </w:rPr>
        <w:t>решени</w:t>
      </w:r>
      <w:r w:rsidR="00D61F59"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пописот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населението.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Имаше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благ</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реакцијата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административните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тела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овластувања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(66,2</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наспроти</w:t>
      </w:r>
      <w:r w:rsidR="00E003C4" w:rsidRPr="00C9671E">
        <w:rPr>
          <w:rFonts w:ascii="Times New Roman" w:hAnsi="Times New Roman" w:cs="Times New Roman"/>
          <w:sz w:val="24"/>
        </w:rPr>
        <w:t xml:space="preserve"> </w:t>
      </w:r>
      <w:r w:rsidRPr="00C9671E">
        <w:rPr>
          <w:rFonts w:ascii="Times New Roman" w:hAnsi="Times New Roman" w:cs="Times New Roman"/>
          <w:sz w:val="24"/>
        </w:rPr>
        <w:t>63</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помалку</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80</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p>
    <w:p w14:paraId="2B835578"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сè</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Европскиот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спречување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тортура</w:t>
      </w:r>
      <w:r w:rsidR="00E003C4" w:rsidRPr="00C9671E">
        <w:rPr>
          <w:rFonts w:ascii="Times New Roman" w:hAnsi="Times New Roman" w:cs="Times New Roman"/>
          <w:sz w:val="24"/>
        </w:rPr>
        <w:t xml:space="preserve"> </w:t>
      </w:r>
      <w:r w:rsidRPr="00C9671E">
        <w:rPr>
          <w:rFonts w:ascii="Times New Roman" w:hAnsi="Times New Roman" w:cs="Times New Roman"/>
          <w:sz w:val="24"/>
        </w:rPr>
        <w:t>(КПТ)</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објавени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КПТ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јули</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повторуваат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наоди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b/>
          <w:sz w:val="24"/>
        </w:rPr>
        <w:t>спречувањето</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тортурата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малтретирањето</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главните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лошиот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лошото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нискиот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слабиот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квалитет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здравствена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им</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обезбедува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затворениците,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насилството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лошите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материјални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недостигот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ендемичната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w:t>
      </w:r>
    </w:p>
    <w:p w14:paraId="6872A75F"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Механизмот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надворешен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00B75C97"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с</w:t>
      </w:r>
      <w:r w:rsidR="00AA3E7C" w:rsidRPr="00C9671E">
        <w:rPr>
          <w:rFonts w:ascii="Times New Roman" w:hAnsi="Times New Roman" w:cs="Times New Roman"/>
          <w:sz w:val="24"/>
        </w:rPr>
        <w:t>ѐ</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Собранието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допрва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избере</w:t>
      </w:r>
      <w:r w:rsidR="00E003C4" w:rsidRPr="00C9671E">
        <w:rPr>
          <w:rFonts w:ascii="Times New Roman" w:hAnsi="Times New Roman" w:cs="Times New Roman"/>
          <w:sz w:val="24"/>
        </w:rPr>
        <w:t xml:space="preserve"> </w:t>
      </w:r>
      <w:r w:rsidRPr="00C9671E">
        <w:rPr>
          <w:rFonts w:ascii="Times New Roman" w:hAnsi="Times New Roman" w:cs="Times New Roman"/>
          <w:sz w:val="24"/>
        </w:rPr>
        <w:t>тр</w:t>
      </w:r>
      <w:r w:rsidR="00AA3E7C" w:rsidRPr="00C9671E">
        <w:rPr>
          <w:rFonts w:ascii="Times New Roman" w:hAnsi="Times New Roman" w:cs="Times New Roman"/>
          <w:sz w:val="24"/>
        </w:rPr>
        <w:t>ојцата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разрешат</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минатите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учество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претставниците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едногодишен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мандат.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механизмот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контрола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Народниот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правобранител</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две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припадници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која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21</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B75C97"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00B75C97"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наспроти</w:t>
      </w:r>
      <w:r w:rsidR="00E003C4" w:rsidRPr="00C9671E">
        <w:rPr>
          <w:rFonts w:ascii="Times New Roman" w:hAnsi="Times New Roman" w:cs="Times New Roman"/>
          <w:sz w:val="24"/>
        </w:rPr>
        <w:t xml:space="preserve"> </w:t>
      </w:r>
      <w:r w:rsidRPr="00C9671E">
        <w:rPr>
          <w:rFonts w:ascii="Times New Roman" w:hAnsi="Times New Roman" w:cs="Times New Roman"/>
          <w:sz w:val="24"/>
        </w:rPr>
        <w:t>десет</w:t>
      </w:r>
      <w:r w:rsidR="00E003C4" w:rsidRPr="00C9671E">
        <w:rPr>
          <w:rFonts w:ascii="Times New Roman" w:hAnsi="Times New Roman" w:cs="Times New Roman"/>
          <w:sz w:val="24"/>
        </w:rPr>
        <w:t xml:space="preserve"> </w:t>
      </w:r>
      <w:r w:rsidRPr="00C9671E">
        <w:rPr>
          <w:rFonts w:ascii="Times New Roman" w:hAnsi="Times New Roman" w:cs="Times New Roman"/>
          <w:sz w:val="24"/>
        </w:rPr>
        <w:t>слични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испратени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кривичен</w:t>
      </w:r>
      <w:r w:rsidR="00E003C4" w:rsidRPr="00C9671E">
        <w:rPr>
          <w:rFonts w:ascii="Times New Roman" w:hAnsi="Times New Roman" w:cs="Times New Roman"/>
          <w:sz w:val="24"/>
        </w:rPr>
        <w:t xml:space="preserve"> </w:t>
      </w:r>
      <w:r w:rsidRPr="00C9671E">
        <w:rPr>
          <w:rFonts w:ascii="Times New Roman" w:hAnsi="Times New Roman" w:cs="Times New Roman"/>
          <w:sz w:val="24"/>
        </w:rPr>
        <w:t>суд</w:t>
      </w:r>
      <w:r w:rsidR="00E003C4" w:rsidRPr="00C9671E">
        <w:rPr>
          <w:rFonts w:ascii="Times New Roman" w:hAnsi="Times New Roman" w:cs="Times New Roman"/>
          <w:sz w:val="24"/>
        </w:rPr>
        <w:t xml:space="preserve"> </w:t>
      </w:r>
      <w:r w:rsidRPr="00C9671E">
        <w:rPr>
          <w:rFonts w:ascii="Times New Roman" w:hAnsi="Times New Roman" w:cs="Times New Roman"/>
          <w:sz w:val="24"/>
        </w:rPr>
        <w:t>Скопје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нечовечко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вршење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должност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службеник.</w:t>
      </w:r>
      <w:r w:rsidR="00E003C4" w:rsidRPr="00C9671E">
        <w:rPr>
          <w:rFonts w:ascii="Times New Roman" w:hAnsi="Times New Roman" w:cs="Times New Roman"/>
          <w:sz w:val="24"/>
        </w:rPr>
        <w:t xml:space="preserve"> </w:t>
      </w:r>
    </w:p>
    <w:p w14:paraId="118BCBFE"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lastRenderedPageBreak/>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наменскиот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оддел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отвори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91</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213</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овластувања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припадници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сомнение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сторени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дела.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резултат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обвинети</w:t>
      </w:r>
      <w:r w:rsidR="00E003C4" w:rsidRPr="00C9671E">
        <w:rPr>
          <w:rFonts w:ascii="Times New Roman" w:hAnsi="Times New Roman" w:cs="Times New Roman"/>
          <w:sz w:val="24"/>
        </w:rPr>
        <w:t xml:space="preserve"> </w:t>
      </w:r>
      <w:r w:rsidRPr="00C9671E">
        <w:rPr>
          <w:rFonts w:ascii="Times New Roman" w:hAnsi="Times New Roman" w:cs="Times New Roman"/>
          <w:sz w:val="24"/>
        </w:rPr>
        <w:t>33</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20</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налози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изречени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првостепени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50</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(шест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36</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парични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четири</w:t>
      </w:r>
      <w:r w:rsidR="00E003C4" w:rsidRPr="00C9671E">
        <w:rPr>
          <w:rFonts w:ascii="Times New Roman" w:hAnsi="Times New Roman" w:cs="Times New Roman"/>
          <w:sz w:val="24"/>
        </w:rPr>
        <w:t xml:space="preserve"> </w:t>
      </w:r>
      <w:r w:rsidRPr="00C9671E">
        <w:rPr>
          <w:rFonts w:ascii="Times New Roman" w:hAnsi="Times New Roman" w:cs="Times New Roman"/>
          <w:sz w:val="24"/>
        </w:rPr>
        <w:t>ослободителни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пресуди).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Постои</w:t>
      </w:r>
      <w:r w:rsidR="00E003C4" w:rsidRPr="00C9671E">
        <w:rPr>
          <w:rFonts w:ascii="Times New Roman" w:hAnsi="Times New Roman" w:cs="Times New Roman"/>
          <w:sz w:val="24"/>
        </w:rPr>
        <w:t xml:space="preserve"> </w:t>
      </w:r>
      <w:r w:rsidRPr="00C9671E">
        <w:rPr>
          <w:rFonts w:ascii="Times New Roman" w:hAnsi="Times New Roman" w:cs="Times New Roman"/>
          <w:sz w:val="24"/>
        </w:rPr>
        <w:t>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поголемо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подигање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механизмот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надворешен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00BF196B"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добро</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разбирање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системот.</w:t>
      </w:r>
    </w:p>
    <w:p w14:paraId="3B1D9901"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пријавени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Pr="00C9671E">
        <w:rPr>
          <w:rFonts w:ascii="Times New Roman" w:hAnsi="Times New Roman" w:cs="Times New Roman"/>
          <w:sz w:val="24"/>
        </w:rPr>
        <w:t>без</w:t>
      </w:r>
      <w:r w:rsidR="00E003C4" w:rsidRPr="00C9671E">
        <w:rPr>
          <w:rFonts w:ascii="Times New Roman" w:hAnsi="Times New Roman" w:cs="Times New Roman"/>
          <w:sz w:val="24"/>
        </w:rPr>
        <w:t xml:space="preserve"> </w:t>
      </w:r>
      <w:r w:rsidRPr="00C9671E">
        <w:rPr>
          <w:rFonts w:ascii="Times New Roman" w:hAnsi="Times New Roman" w:cs="Times New Roman"/>
          <w:sz w:val="24"/>
        </w:rPr>
        <w:t>одлагање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BF196B"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истраж</w:t>
      </w:r>
      <w:r w:rsidR="00BF196B" w:rsidRPr="00C9671E">
        <w:rPr>
          <w:rFonts w:ascii="Times New Roman" w:hAnsi="Times New Roman" w:cs="Times New Roman"/>
          <w:sz w:val="24"/>
        </w:rPr>
        <w:t>ат</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полициско</w:t>
      </w:r>
      <w:r w:rsidR="00E003C4" w:rsidRPr="00C9671E">
        <w:rPr>
          <w:rFonts w:ascii="Times New Roman" w:hAnsi="Times New Roman" w:cs="Times New Roman"/>
          <w:sz w:val="24"/>
        </w:rPr>
        <w:t xml:space="preserve"> </w:t>
      </w:r>
      <w:r w:rsidRPr="00C9671E">
        <w:rPr>
          <w:rFonts w:ascii="Times New Roman" w:hAnsi="Times New Roman" w:cs="Times New Roman"/>
          <w:sz w:val="24"/>
        </w:rPr>
        <w:t>малтретирање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мора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контрола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професионални</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стандарди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внатрешни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работи</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разгледа</w:t>
      </w:r>
      <w:r w:rsidR="00E003C4" w:rsidRPr="00C9671E">
        <w:rPr>
          <w:rFonts w:ascii="Times New Roman" w:hAnsi="Times New Roman" w:cs="Times New Roman"/>
          <w:sz w:val="24"/>
        </w:rPr>
        <w:t xml:space="preserve"> </w:t>
      </w:r>
      <w:r w:rsidRPr="00C9671E">
        <w:rPr>
          <w:rFonts w:ascii="Times New Roman" w:hAnsi="Times New Roman" w:cs="Times New Roman"/>
          <w:sz w:val="24"/>
        </w:rPr>
        <w:t>63</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прекумерна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физичка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(65</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претставки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19</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неосновани,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кај</w:t>
      </w:r>
      <w:r w:rsidR="00E003C4" w:rsidRPr="00C9671E">
        <w:rPr>
          <w:rFonts w:ascii="Times New Roman" w:hAnsi="Times New Roman" w:cs="Times New Roman"/>
          <w:sz w:val="24"/>
        </w:rPr>
        <w:t xml:space="preserve"> </w:t>
      </w:r>
      <w:r w:rsidRPr="00C9671E">
        <w:rPr>
          <w:rFonts w:ascii="Times New Roman" w:hAnsi="Times New Roman" w:cs="Times New Roman"/>
          <w:sz w:val="24"/>
        </w:rPr>
        <w:t>40</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недостигаа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докази.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кривични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малтретирање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w:t>
      </w:r>
      <w:r w:rsidR="00E003C4" w:rsidRPr="00C9671E">
        <w:rPr>
          <w:rFonts w:ascii="Times New Roman" w:hAnsi="Times New Roman" w:cs="Times New Roman"/>
          <w:sz w:val="24"/>
        </w:rPr>
        <w:t xml:space="preserve"> </w:t>
      </w:r>
      <w:r w:rsidRPr="00C9671E">
        <w:rPr>
          <w:rFonts w:ascii="Times New Roman" w:hAnsi="Times New Roman" w:cs="Times New Roman"/>
          <w:sz w:val="24"/>
        </w:rPr>
        <w:t>вршење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доставено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известување.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поднесоа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санкции</w:t>
      </w:r>
      <w:r w:rsidR="00E003C4" w:rsidRPr="00C9671E">
        <w:rPr>
          <w:rFonts w:ascii="Times New Roman" w:hAnsi="Times New Roman" w:cs="Times New Roman"/>
          <w:sz w:val="24"/>
        </w:rPr>
        <w:t xml:space="preserve"> </w:t>
      </w:r>
      <w:r w:rsidRPr="00C9671E">
        <w:rPr>
          <w:rFonts w:ascii="Times New Roman" w:hAnsi="Times New Roman" w:cs="Times New Roman"/>
          <w:sz w:val="24"/>
        </w:rPr>
        <w:t>112</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присилба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27</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предмети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однесуваа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физичка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инспекции.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физичка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сила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Идризово,</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поднесе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санкции.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организациите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сузбивањето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малтретирањето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текот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p>
    <w:p w14:paraId="79838B02" w14:textId="77777777" w:rsidR="001602DC" w:rsidRPr="00C9671E" w:rsidRDefault="001602DC" w:rsidP="0012222D">
      <w:pPr>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rPr>
        <w:t>Северна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Македонија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итно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справи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постојаното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околу</w:t>
      </w:r>
      <w:r w:rsidR="00E003C4" w:rsidRPr="00C9671E">
        <w:rPr>
          <w:rFonts w:ascii="Times New Roman" w:hAnsi="Times New Roman" w:cs="Times New Roman"/>
          <w:sz w:val="24"/>
        </w:rPr>
        <w:t xml:space="preserve"> </w:t>
      </w:r>
      <w:r w:rsidRPr="00C9671E">
        <w:rPr>
          <w:rFonts w:ascii="Times New Roman" w:hAnsi="Times New Roman" w:cs="Times New Roman"/>
          <w:sz w:val="24"/>
        </w:rPr>
        <w:t>несоодветни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психијатриски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последниот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КПТ.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Националниот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превентивен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механизам</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направи</w:t>
      </w:r>
      <w:r w:rsidR="00E003C4" w:rsidRPr="00C9671E">
        <w:rPr>
          <w:rFonts w:ascii="Times New Roman" w:hAnsi="Times New Roman" w:cs="Times New Roman"/>
          <w:sz w:val="24"/>
        </w:rPr>
        <w:t xml:space="preserve"> </w:t>
      </w:r>
      <w:r w:rsidRPr="00C9671E">
        <w:rPr>
          <w:rFonts w:ascii="Times New Roman" w:hAnsi="Times New Roman" w:cs="Times New Roman"/>
          <w:sz w:val="24"/>
        </w:rPr>
        <w:t>33</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воспитно-поправни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местата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каде</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сместуваат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приведуваат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странци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баратели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азил.</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покренати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години</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нерешени,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особено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информации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пристап</w:t>
      </w:r>
      <w:r w:rsidR="00E003C4" w:rsidRPr="00C9671E">
        <w:rPr>
          <w:rFonts w:ascii="Times New Roman" w:hAnsi="Times New Roman" w:cs="Times New Roman"/>
          <w:sz w:val="24"/>
        </w:rPr>
        <w:t xml:space="preserve"> </w:t>
      </w:r>
      <w:r w:rsidRPr="00C9671E">
        <w:rPr>
          <w:rFonts w:ascii="Times New Roman" w:hAnsi="Times New Roman" w:cs="Times New Roman"/>
          <w:sz w:val="24"/>
        </w:rPr>
        <w:t>до</w:t>
      </w:r>
      <w:r w:rsidR="00E003C4" w:rsidRPr="00C9671E">
        <w:rPr>
          <w:rFonts w:ascii="Times New Roman" w:hAnsi="Times New Roman" w:cs="Times New Roman"/>
          <w:sz w:val="24"/>
        </w:rPr>
        <w:t xml:space="preserve"> </w:t>
      </w:r>
      <w:r w:rsidRPr="00C9671E">
        <w:rPr>
          <w:rFonts w:ascii="Times New Roman" w:hAnsi="Times New Roman" w:cs="Times New Roman"/>
          <w:sz w:val="24"/>
        </w:rPr>
        <w:t>адвокат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полициските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станици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здравствена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p>
    <w:p w14:paraId="4678CF27"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Иако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инфраструктурата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реновирана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испорачана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медицинска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опрема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голем</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казнено-поправни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притвор</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делови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Казнено-поправниот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дом</w:t>
      </w:r>
      <w:r w:rsidR="00E003C4" w:rsidRPr="00C9671E">
        <w:rPr>
          <w:rFonts w:ascii="Times New Roman" w:hAnsi="Times New Roman" w:cs="Times New Roman"/>
          <w:sz w:val="24"/>
        </w:rPr>
        <w:t xml:space="preserve"> </w:t>
      </w:r>
      <w:r w:rsidRPr="00C9671E">
        <w:rPr>
          <w:rFonts w:ascii="Times New Roman" w:hAnsi="Times New Roman" w:cs="Times New Roman"/>
          <w:sz w:val="24"/>
        </w:rPr>
        <w:t>„Идризово“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притворски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објекти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b/>
          <w:sz w:val="24"/>
        </w:rPr>
        <w:t>затворскиот</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нехумани.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Пријавената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пренатрупаност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предизвикува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загриженост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2.462-те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приведени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март</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Приоритет</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924EBD"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реновирањето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најзапуштените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згради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согласност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препораките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КПТ.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професионализира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управувањето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важно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именувањето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вклучувајќи</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привремените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директори,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единствено</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санкции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2019</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продолжат</w:t>
      </w:r>
      <w:r w:rsidR="00E003C4" w:rsidRPr="00C9671E">
        <w:rPr>
          <w:rFonts w:ascii="Times New Roman" w:hAnsi="Times New Roman" w:cs="Times New Roman"/>
          <w:sz w:val="24"/>
        </w:rPr>
        <w:t xml:space="preserve"> </w:t>
      </w:r>
      <w:r w:rsidRPr="00C9671E">
        <w:rPr>
          <w:rFonts w:ascii="Times New Roman" w:hAnsi="Times New Roman" w:cs="Times New Roman"/>
          <w:sz w:val="24"/>
        </w:rPr>
        <w:t>регуларните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инспекции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повторливо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февруари</w:t>
      </w:r>
      <w:r w:rsidR="00E003C4" w:rsidRPr="00C9671E">
        <w:rPr>
          <w:rFonts w:ascii="Times New Roman" w:hAnsi="Times New Roman" w:cs="Times New Roman"/>
          <w:sz w:val="24"/>
        </w:rPr>
        <w:t xml:space="preserve"> </w:t>
      </w:r>
      <w:r w:rsidRPr="00C9671E">
        <w:rPr>
          <w:rFonts w:ascii="Times New Roman" w:hAnsi="Times New Roman" w:cs="Times New Roman"/>
          <w:sz w:val="24"/>
        </w:rPr>
        <w:t>2022</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беше</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донесен</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годишен</w:t>
      </w:r>
      <w:r w:rsidR="00E003C4" w:rsidRPr="00C9671E">
        <w:rPr>
          <w:rFonts w:ascii="Times New Roman" w:hAnsi="Times New Roman" w:cs="Times New Roman"/>
          <w:sz w:val="24"/>
        </w:rPr>
        <w:t xml:space="preserve"> </w:t>
      </w:r>
      <w:r w:rsidRPr="00C9671E">
        <w:rPr>
          <w:rFonts w:ascii="Times New Roman" w:hAnsi="Times New Roman" w:cs="Times New Roman"/>
          <w:sz w:val="24"/>
        </w:rPr>
        <w:t>план</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борба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против</w:t>
      </w:r>
      <w:r w:rsidR="00E003C4" w:rsidRPr="00C9671E">
        <w:rPr>
          <w:rFonts w:ascii="Times New Roman" w:hAnsi="Times New Roman" w:cs="Times New Roman"/>
          <w:sz w:val="24"/>
        </w:rPr>
        <w:t xml:space="preserve"> </w:t>
      </w:r>
      <w:r w:rsidRPr="00C9671E">
        <w:rPr>
          <w:rFonts w:ascii="Times New Roman" w:hAnsi="Times New Roman" w:cs="Times New Roman"/>
          <w:sz w:val="24"/>
        </w:rPr>
        <w:t>корупцијата</w:t>
      </w:r>
      <w:r w:rsidR="00E003C4" w:rsidRPr="00C9671E">
        <w:rPr>
          <w:rFonts w:ascii="Times New Roman" w:hAnsi="Times New Roman" w:cs="Times New Roman"/>
          <w:sz w:val="24"/>
        </w:rPr>
        <w:t xml:space="preserve"> </w:t>
      </w:r>
      <w:r w:rsidR="00AA3E7C"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континуирана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специјализација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00AA3E7C" w:rsidRPr="00C9671E">
        <w:rPr>
          <w:rFonts w:ascii="Times New Roman" w:hAnsi="Times New Roman" w:cs="Times New Roman"/>
          <w:sz w:val="24"/>
        </w:rPr>
        <w:t>Ц</w:t>
      </w:r>
      <w:r w:rsidRPr="00C9671E">
        <w:rPr>
          <w:rFonts w:ascii="Times New Roman" w:hAnsi="Times New Roman" w:cs="Times New Roman"/>
          <w:sz w:val="24"/>
        </w:rPr>
        <w:t>ентарот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Идризово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конечно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функционален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почетна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обука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нови</w:t>
      </w:r>
      <w:r w:rsidR="00E003C4" w:rsidRPr="00C9671E">
        <w:rPr>
          <w:rFonts w:ascii="Times New Roman" w:hAnsi="Times New Roman" w:cs="Times New Roman"/>
          <w:sz w:val="24"/>
        </w:rPr>
        <w:t xml:space="preserve"> </w:t>
      </w:r>
      <w:r w:rsidRPr="00C9671E">
        <w:rPr>
          <w:rFonts w:ascii="Times New Roman" w:hAnsi="Times New Roman" w:cs="Times New Roman"/>
          <w:sz w:val="24"/>
        </w:rPr>
        <w:t>вработени.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Недостатокот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соодветна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здравствена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третман</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зависности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дрога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останува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прашање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сериозна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загриженост,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кое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го</w:t>
      </w:r>
      <w:r w:rsidR="00E003C4" w:rsidRPr="00C9671E">
        <w:rPr>
          <w:rFonts w:ascii="Times New Roman" w:hAnsi="Times New Roman" w:cs="Times New Roman"/>
          <w:sz w:val="24"/>
        </w:rPr>
        <w:t xml:space="preserve"> </w:t>
      </w:r>
      <w:r w:rsidRPr="00C9671E">
        <w:rPr>
          <w:rFonts w:ascii="Times New Roman" w:hAnsi="Times New Roman" w:cs="Times New Roman"/>
          <w:sz w:val="24"/>
        </w:rPr>
        <w:t>реши</w:t>
      </w:r>
      <w:r w:rsidR="00E003C4" w:rsidRPr="00C9671E">
        <w:rPr>
          <w:rFonts w:ascii="Times New Roman" w:hAnsi="Times New Roman" w:cs="Times New Roman"/>
          <w:sz w:val="24"/>
        </w:rPr>
        <w:t xml:space="preserve"> </w:t>
      </w:r>
      <w:r w:rsidRPr="00C9671E">
        <w:rPr>
          <w:rFonts w:ascii="Times New Roman" w:hAnsi="Times New Roman" w:cs="Times New Roman"/>
          <w:sz w:val="24"/>
        </w:rPr>
        <w:t>Министерството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здравство.</w:t>
      </w:r>
    </w:p>
    <w:p w14:paraId="23AFD5B9" w14:textId="77777777" w:rsidR="001602DC" w:rsidRPr="00C9671E" w:rsidRDefault="001602DC" w:rsidP="0012222D">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lastRenderedPageBreak/>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00924EBD" w:rsidRPr="00C9671E">
        <w:rPr>
          <w:rFonts w:ascii="Times New Roman" w:hAnsi="Times New Roman" w:cs="Times New Roman"/>
          <w:sz w:val="24"/>
        </w:rPr>
        <w:t>целосно</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00E11CE9" w:rsidRPr="00C9671E">
        <w:rPr>
          <w:rFonts w:ascii="Times New Roman" w:hAnsi="Times New Roman" w:cs="Times New Roman"/>
          <w:sz w:val="24"/>
        </w:rPr>
        <w:t>Националната</w:t>
      </w:r>
      <w:r w:rsidR="00E003C4" w:rsidRPr="00C9671E">
        <w:rPr>
          <w:rFonts w:ascii="Times New Roman" w:hAnsi="Times New Roman" w:cs="Times New Roman"/>
          <w:sz w:val="24"/>
        </w:rPr>
        <w:t xml:space="preserve"> </w:t>
      </w:r>
      <w:r w:rsidR="00E11CE9" w:rsidRPr="00C9671E">
        <w:rPr>
          <w:rFonts w:ascii="Times New Roman" w:hAnsi="Times New Roman" w:cs="Times New Roman"/>
          <w:sz w:val="24"/>
        </w:rPr>
        <w:t>стратегија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развој</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пенитенцијарниот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00AA3E7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2025</w:t>
      </w:r>
      <w:r w:rsidR="00AA3E7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924EBD"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00924EBD"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средства,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дополнителен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политичка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посветеност.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меѓуресорска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оцена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B343B6" w:rsidRPr="00C9671E">
        <w:rPr>
          <w:rFonts w:ascii="Times New Roman" w:hAnsi="Times New Roman" w:cs="Times New Roman"/>
          <w:sz w:val="24"/>
        </w:rPr>
        <w:t>С</w:t>
      </w:r>
      <w:r w:rsidRPr="00C9671E">
        <w:rPr>
          <w:rFonts w:ascii="Times New Roman" w:hAnsi="Times New Roman" w:cs="Times New Roman"/>
          <w:sz w:val="24"/>
        </w:rPr>
        <w:t>тратегијата.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Процесот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ослободување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подготви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преку</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меѓуинституционална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затворите</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постказнена</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помош.</w:t>
      </w:r>
    </w:p>
    <w:p w14:paraId="2BA6E9C8"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Пробацискиот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развива,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бројот</w:t>
      </w:r>
      <w:r w:rsidR="00E003C4" w:rsidRPr="00C9671E">
        <w:rPr>
          <w:rFonts w:ascii="Times New Roman" w:hAnsi="Times New Roman" w:cs="Times New Roman"/>
          <w:sz w:val="24"/>
        </w:rPr>
        <w:t xml:space="preserve"> </w:t>
      </w:r>
      <w:r w:rsidR="00B343B6"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случаи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евидентирани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451</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пробации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(276</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најголем</w:t>
      </w:r>
      <w:r w:rsidR="00E003C4" w:rsidRPr="00C9671E">
        <w:rPr>
          <w:rFonts w:ascii="Times New Roman" w:hAnsi="Times New Roman" w:cs="Times New Roman"/>
          <w:sz w:val="24"/>
        </w:rPr>
        <w:t xml:space="preserve"> </w:t>
      </w:r>
      <w:r w:rsidRPr="00C9671E">
        <w:rPr>
          <w:rFonts w:ascii="Times New Roman" w:hAnsi="Times New Roman" w:cs="Times New Roman"/>
          <w:sz w:val="24"/>
        </w:rPr>
        <w:t>дел</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пробации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условен</w:t>
      </w:r>
      <w:r w:rsidR="00E003C4" w:rsidRPr="00C9671E">
        <w:rPr>
          <w:rFonts w:ascii="Times New Roman" w:hAnsi="Times New Roman" w:cs="Times New Roman"/>
          <w:sz w:val="24"/>
        </w:rPr>
        <w:t xml:space="preserve"> </w:t>
      </w:r>
      <w:r w:rsidRPr="00C9671E">
        <w:rPr>
          <w:rFonts w:ascii="Times New Roman" w:hAnsi="Times New Roman" w:cs="Times New Roman"/>
          <w:sz w:val="24"/>
        </w:rPr>
        <w:t>отпуст.</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Соработката</w:t>
      </w:r>
      <w:r w:rsidR="00E003C4" w:rsidRPr="00C9671E">
        <w:rPr>
          <w:rFonts w:ascii="Times New Roman" w:hAnsi="Times New Roman" w:cs="Times New Roman"/>
          <w:sz w:val="24"/>
        </w:rPr>
        <w:t xml:space="preserve"> </w:t>
      </w:r>
      <w:r w:rsidR="00B343B6" w:rsidRPr="00C9671E">
        <w:rPr>
          <w:rFonts w:ascii="Times New Roman" w:hAnsi="Times New Roman" w:cs="Times New Roman"/>
          <w:sz w:val="24"/>
        </w:rPr>
        <w:t>по</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приватниот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граѓанското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општество,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меѓуагенциската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продолжат.</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Подобрена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продолжи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координацијата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пробациските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службеници,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судиите,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обвинители,</w:t>
      </w:r>
      <w:r w:rsidR="00E003C4" w:rsidRPr="00C9671E">
        <w:rPr>
          <w:rFonts w:ascii="Times New Roman" w:hAnsi="Times New Roman" w:cs="Times New Roman"/>
          <w:sz w:val="24"/>
        </w:rPr>
        <w:t xml:space="preserve"> </w:t>
      </w:r>
      <w:r w:rsidRPr="00C9671E">
        <w:rPr>
          <w:rFonts w:ascii="Times New Roman" w:hAnsi="Times New Roman" w:cs="Times New Roman"/>
          <w:sz w:val="24"/>
        </w:rPr>
        <w:t>затворскиот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институции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w:t>
      </w:r>
      <w:r w:rsidR="00E003C4" w:rsidRPr="00C9671E">
        <w:rPr>
          <w:rFonts w:ascii="Times New Roman" w:hAnsi="Times New Roman" w:cs="Times New Roman"/>
          <w:sz w:val="24"/>
        </w:rPr>
        <w:t xml:space="preserve"> </w:t>
      </w:r>
      <w:r w:rsidRPr="00C9671E">
        <w:rPr>
          <w:rFonts w:ascii="Times New Roman" w:hAnsi="Times New Roman" w:cs="Times New Roman"/>
          <w:sz w:val="24"/>
        </w:rPr>
        <w:t>ослободување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подигањето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свеста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придобивките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пробација.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донесувањето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алтернативните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алтернативните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зголеми</w:t>
      </w:r>
      <w:r w:rsidR="00E003C4" w:rsidRPr="00C9671E">
        <w:rPr>
          <w:rFonts w:ascii="Times New Roman" w:hAnsi="Times New Roman" w:cs="Times New Roman"/>
          <w:sz w:val="24"/>
        </w:rPr>
        <w:t xml:space="preserve"> </w:t>
      </w:r>
      <w:r w:rsidRPr="00C9671E">
        <w:rPr>
          <w:rFonts w:ascii="Times New Roman" w:hAnsi="Times New Roman" w:cs="Times New Roman"/>
          <w:sz w:val="24"/>
        </w:rPr>
        <w:t>нивната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Тие</w:t>
      </w:r>
      <w:r w:rsidR="00E003C4" w:rsidRPr="00C9671E">
        <w:rPr>
          <w:rFonts w:ascii="Times New Roman" w:hAnsi="Times New Roman" w:cs="Times New Roman"/>
          <w:sz w:val="24"/>
        </w:rPr>
        <w:t xml:space="preserve"> </w:t>
      </w:r>
      <w:r w:rsidRPr="00C9671E">
        <w:rPr>
          <w:rFonts w:ascii="Times New Roman" w:hAnsi="Times New Roman" w:cs="Times New Roman"/>
          <w:sz w:val="24"/>
        </w:rPr>
        <w:t>мерки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неопходни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ресоцијализацијата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рехабилитацијата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намалување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ризикот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повторно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прекршување,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вклучително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кај</w:t>
      </w:r>
      <w:r w:rsidR="00E003C4" w:rsidRPr="00C9671E">
        <w:rPr>
          <w:rFonts w:ascii="Times New Roman" w:hAnsi="Times New Roman" w:cs="Times New Roman"/>
          <w:sz w:val="24"/>
        </w:rPr>
        <w:t xml:space="preserve"> </w:t>
      </w:r>
      <w:r w:rsidRPr="00C9671E">
        <w:rPr>
          <w:rFonts w:ascii="Times New Roman" w:hAnsi="Times New Roman" w:cs="Times New Roman"/>
          <w:sz w:val="24"/>
        </w:rPr>
        <w:t>малолетните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значителен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одговорот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општиот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недостаток</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наменски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едукативни,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рекреативни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стручни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активности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осудените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притворените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лица.</w:t>
      </w:r>
      <w:r w:rsidR="00E003C4" w:rsidRPr="00C9671E">
        <w:rPr>
          <w:rFonts w:ascii="Times New Roman" w:hAnsi="Times New Roman" w:cs="Times New Roman"/>
          <w:sz w:val="24"/>
        </w:rPr>
        <w:t xml:space="preserve"> </w:t>
      </w:r>
      <w:r w:rsidRPr="00C9671E">
        <w:rPr>
          <w:rFonts w:ascii="Times New Roman" w:hAnsi="Times New Roman" w:cs="Times New Roman"/>
          <w:sz w:val="24"/>
        </w:rPr>
        <w:t>Услугите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образование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ресоцијализација,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програмите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лекување,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треба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спроведуваат</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казнено-поправни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воспитно-поправни</w:t>
      </w:r>
      <w:r w:rsidR="00E003C4" w:rsidRPr="00C9671E">
        <w:rPr>
          <w:rFonts w:ascii="Times New Roman" w:hAnsi="Times New Roman" w:cs="Times New Roman"/>
          <w:sz w:val="24"/>
        </w:rPr>
        <w:t xml:space="preserve"> </w:t>
      </w:r>
      <w:r w:rsidRPr="00C9671E">
        <w:rPr>
          <w:rFonts w:ascii="Times New Roman" w:hAnsi="Times New Roman" w:cs="Times New Roman"/>
          <w:sz w:val="24"/>
        </w:rPr>
        <w:t>установи.</w:t>
      </w:r>
    </w:p>
    <w:p w14:paraId="3D6373C0" w14:textId="77777777" w:rsidR="001602DC" w:rsidRPr="00C9671E" w:rsidRDefault="00E201D1"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врска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602DC" w:rsidRPr="00C9671E">
        <w:rPr>
          <w:rFonts w:ascii="Times New Roman" w:hAnsi="Times New Roman" w:cs="Times New Roman"/>
          <w:b/>
          <w:sz w:val="24"/>
        </w:rPr>
        <w:t>заштитата</w:t>
      </w:r>
      <w:r w:rsidR="00E003C4" w:rsidRPr="00C9671E">
        <w:rPr>
          <w:rFonts w:ascii="Times New Roman" w:hAnsi="Times New Roman" w:cs="Times New Roman"/>
          <w:b/>
          <w:sz w:val="24"/>
        </w:rPr>
        <w:t xml:space="preserve"> </w:t>
      </w:r>
      <w:r w:rsidR="001602DC"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001602DC" w:rsidRPr="00C9671E">
        <w:rPr>
          <w:rFonts w:ascii="Times New Roman" w:hAnsi="Times New Roman" w:cs="Times New Roman"/>
          <w:b/>
          <w:sz w:val="24"/>
        </w:rPr>
        <w:t>лични</w:t>
      </w:r>
      <w:r w:rsidR="00E003C4" w:rsidRPr="00C9671E">
        <w:rPr>
          <w:rFonts w:ascii="Times New Roman" w:hAnsi="Times New Roman" w:cs="Times New Roman"/>
          <w:b/>
          <w:sz w:val="24"/>
        </w:rPr>
        <w:t xml:space="preserve"> </w:t>
      </w:r>
      <w:r w:rsidR="001602DC" w:rsidRPr="00C9671E">
        <w:rPr>
          <w:rFonts w:ascii="Times New Roman" w:hAnsi="Times New Roman" w:cs="Times New Roman"/>
          <w:b/>
          <w:sz w:val="24"/>
        </w:rPr>
        <w:t>податоци</w:t>
      </w:r>
      <w:r w:rsidR="001602DC"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целосната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примена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Законот</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личните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(ЗЗЛП)</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започна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август</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Новиот</w:t>
      </w:r>
      <w:r w:rsidR="00E003C4" w:rsidRPr="00C9671E">
        <w:rPr>
          <w:rFonts w:ascii="Times New Roman" w:hAnsi="Times New Roman" w:cs="Times New Roman"/>
          <w:sz w:val="24"/>
        </w:rPr>
        <w:t xml:space="preserve"> </w:t>
      </w:r>
      <w:r w:rsidR="00B343B6" w:rsidRPr="00C9671E">
        <w:rPr>
          <w:rFonts w:ascii="Times New Roman" w:hAnsi="Times New Roman" w:cs="Times New Roman"/>
          <w:sz w:val="24"/>
        </w:rPr>
        <w:t>З</w:t>
      </w:r>
      <w:r w:rsidR="001602DC" w:rsidRPr="00C9671E">
        <w:rPr>
          <w:rFonts w:ascii="Times New Roman" w:hAnsi="Times New Roman" w:cs="Times New Roman"/>
          <w:sz w:val="24"/>
        </w:rPr>
        <w:t>акон</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усогласи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неговата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рамка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Општата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регулатива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подготовка</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дополнителни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дополнително</w:t>
      </w:r>
      <w:r w:rsidR="00E003C4" w:rsidRPr="00C9671E">
        <w:rPr>
          <w:rFonts w:ascii="Times New Roman" w:hAnsi="Times New Roman" w:cs="Times New Roman"/>
          <w:sz w:val="24"/>
        </w:rPr>
        <w:t xml:space="preserve"> </w:t>
      </w:r>
      <w:r w:rsidR="001602DC" w:rsidRPr="00C9671E">
        <w:rPr>
          <w:rFonts w:ascii="Times New Roman" w:hAnsi="Times New Roman" w:cs="Times New Roman"/>
          <w:sz w:val="24"/>
        </w:rPr>
        <w:t>усогласување.</w:t>
      </w:r>
    </w:p>
    <w:p w14:paraId="2B5C5B47"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Континуираниот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недостаток</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персонал</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има</w:t>
      </w:r>
      <w:r w:rsidR="00E003C4" w:rsidRPr="00C9671E">
        <w:rPr>
          <w:rFonts w:ascii="Times New Roman" w:hAnsi="Times New Roman" w:cs="Times New Roman"/>
          <w:sz w:val="24"/>
        </w:rPr>
        <w:t xml:space="preserve"> </w:t>
      </w:r>
      <w:r w:rsidRPr="00C9671E">
        <w:rPr>
          <w:rFonts w:ascii="Times New Roman" w:hAnsi="Times New Roman" w:cs="Times New Roman"/>
          <w:sz w:val="24"/>
        </w:rPr>
        <w:t>сериозно</w:t>
      </w:r>
      <w:r w:rsidR="00E003C4" w:rsidRPr="00C9671E">
        <w:rPr>
          <w:rFonts w:ascii="Times New Roman" w:hAnsi="Times New Roman" w:cs="Times New Roman"/>
          <w:sz w:val="24"/>
        </w:rPr>
        <w:t xml:space="preserve"> </w:t>
      </w:r>
      <w:r w:rsidRPr="00C9671E">
        <w:rPr>
          <w:rFonts w:ascii="Times New Roman" w:hAnsi="Times New Roman" w:cs="Times New Roman"/>
          <w:sz w:val="24"/>
        </w:rPr>
        <w:t>негативно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влијание</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00B343B6" w:rsidRPr="00C9671E">
        <w:rPr>
          <w:rFonts w:ascii="Times New Roman" w:hAnsi="Times New Roman" w:cs="Times New Roman"/>
          <w:sz w:val="24"/>
        </w:rPr>
        <w:t>З</w:t>
      </w:r>
      <w:r w:rsidRPr="00C9671E">
        <w:rPr>
          <w:rFonts w:ascii="Times New Roman" w:hAnsi="Times New Roman" w:cs="Times New Roman"/>
          <w:sz w:val="24"/>
        </w:rPr>
        <w:t>аконот.</w:t>
      </w:r>
      <w:r w:rsidR="00E003C4" w:rsidRPr="00C9671E">
        <w:rPr>
          <w:rFonts w:ascii="Times New Roman" w:hAnsi="Times New Roman" w:cs="Times New Roman"/>
          <w:sz w:val="24"/>
        </w:rPr>
        <w:t xml:space="preserve"> </w:t>
      </w:r>
      <w:r w:rsidRPr="00C9671E">
        <w:rPr>
          <w:rFonts w:ascii="Times New Roman" w:hAnsi="Times New Roman" w:cs="Times New Roman"/>
          <w:sz w:val="24"/>
        </w:rPr>
        <w:t>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поткопува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способноста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извршува</w:t>
      </w:r>
      <w:r w:rsidR="00E003C4" w:rsidRPr="00C9671E">
        <w:rPr>
          <w:rFonts w:ascii="Times New Roman" w:hAnsi="Times New Roman" w:cs="Times New Roman"/>
          <w:sz w:val="24"/>
        </w:rPr>
        <w:t xml:space="preserve"> </w:t>
      </w:r>
      <w:r w:rsidRPr="00C9671E">
        <w:rPr>
          <w:rFonts w:ascii="Times New Roman" w:hAnsi="Times New Roman" w:cs="Times New Roman"/>
          <w:sz w:val="24"/>
        </w:rPr>
        <w:t>своите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задачи</w:t>
      </w:r>
      <w:r w:rsidR="00E003C4" w:rsidRPr="00C9671E">
        <w:rPr>
          <w:rFonts w:ascii="Times New Roman" w:hAnsi="Times New Roman" w:cs="Times New Roman"/>
          <w:sz w:val="24"/>
        </w:rPr>
        <w:t xml:space="preserve"> </w:t>
      </w:r>
      <w:r w:rsidRPr="00C9671E">
        <w:rPr>
          <w:rFonts w:ascii="Times New Roman" w:hAnsi="Times New Roman" w:cs="Times New Roman"/>
          <w:sz w:val="24"/>
        </w:rPr>
        <w:t>ефективно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независно.</w:t>
      </w:r>
    </w:p>
    <w:p w14:paraId="1126740F"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покрај</w:t>
      </w:r>
      <w:r w:rsidR="00E003C4" w:rsidRPr="00C9671E">
        <w:rPr>
          <w:rFonts w:ascii="Times New Roman" w:hAnsi="Times New Roman" w:cs="Times New Roman"/>
          <w:sz w:val="24"/>
        </w:rPr>
        <w:t xml:space="preserve"> </w:t>
      </w:r>
      <w:r w:rsidRPr="00C9671E">
        <w:rPr>
          <w:rFonts w:ascii="Times New Roman" w:hAnsi="Times New Roman" w:cs="Times New Roman"/>
          <w:sz w:val="24"/>
        </w:rPr>
        <w:t>оваа</w:t>
      </w:r>
      <w:r w:rsidR="00E003C4" w:rsidRPr="00C9671E">
        <w:rPr>
          <w:rFonts w:ascii="Times New Roman" w:hAnsi="Times New Roman" w:cs="Times New Roman"/>
          <w:sz w:val="24"/>
        </w:rPr>
        <w:t xml:space="preserve"> </w:t>
      </w:r>
      <w:r w:rsidRPr="00C9671E">
        <w:rPr>
          <w:rFonts w:ascii="Times New Roman" w:hAnsi="Times New Roman" w:cs="Times New Roman"/>
          <w:sz w:val="24"/>
        </w:rPr>
        <w:t>ситуација,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2021</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304</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надзори</w:t>
      </w:r>
      <w:r w:rsidR="00E003C4" w:rsidRPr="00C9671E">
        <w:rPr>
          <w:rFonts w:ascii="Times New Roman" w:hAnsi="Times New Roman" w:cs="Times New Roman"/>
          <w:sz w:val="24"/>
        </w:rPr>
        <w:t xml:space="preserve"> </w:t>
      </w:r>
      <w:r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зголемување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29</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2020</w:t>
      </w:r>
      <w:r w:rsidR="00E003C4" w:rsidRPr="00C9671E">
        <w:rPr>
          <w:rFonts w:ascii="Times New Roman" w:hAnsi="Times New Roman" w:cs="Times New Roman"/>
          <w:sz w:val="24"/>
        </w:rPr>
        <w:t xml:space="preserve"> </w:t>
      </w:r>
      <w:r w:rsidRPr="00C9671E">
        <w:rPr>
          <w:rFonts w:ascii="Times New Roman" w:hAnsi="Times New Roman" w:cs="Times New Roman"/>
          <w:sz w:val="24"/>
        </w:rPr>
        <w:t>година).</w:t>
      </w:r>
      <w:r w:rsidR="00E003C4" w:rsidRPr="00C9671E">
        <w:rPr>
          <w:rFonts w:ascii="Times New Roman" w:hAnsi="Times New Roman" w:cs="Times New Roman"/>
          <w:sz w:val="24"/>
        </w:rPr>
        <w:t xml:space="preserve"> </w:t>
      </w:r>
      <w:r w:rsidRPr="00C9671E">
        <w:rPr>
          <w:rFonts w:ascii="Times New Roman" w:hAnsi="Times New Roman" w:cs="Times New Roman"/>
          <w:sz w:val="24"/>
        </w:rPr>
        <w:t>62</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надзори</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јавниот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00B343B6" w:rsidRPr="00C9671E">
        <w:rPr>
          <w:rFonts w:ascii="Times New Roman" w:hAnsi="Times New Roman" w:cs="Times New Roman"/>
          <w:sz w:val="24"/>
        </w:rPr>
        <w:t>друг</w:t>
      </w:r>
      <w:r w:rsidRPr="00C9671E">
        <w:rPr>
          <w:rFonts w:ascii="Times New Roman" w:hAnsi="Times New Roman" w:cs="Times New Roman"/>
          <w:sz w:val="24"/>
        </w:rPr>
        <w:t>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приватниот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исто</w:t>
      </w:r>
      <w:r w:rsidR="00E003C4" w:rsidRPr="00C9671E">
        <w:rPr>
          <w:rFonts w:ascii="Times New Roman" w:hAnsi="Times New Roman" w:cs="Times New Roman"/>
          <w:sz w:val="24"/>
        </w:rPr>
        <w:t xml:space="preserve"> </w:t>
      </w:r>
      <w:r w:rsidRPr="00C9671E">
        <w:rPr>
          <w:rFonts w:ascii="Times New Roman" w:hAnsi="Times New Roman" w:cs="Times New Roman"/>
          <w:sz w:val="24"/>
        </w:rPr>
        <w:t>така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прими</w:t>
      </w:r>
      <w:r w:rsidR="00E003C4" w:rsidRPr="00C9671E">
        <w:rPr>
          <w:rFonts w:ascii="Times New Roman" w:hAnsi="Times New Roman" w:cs="Times New Roman"/>
          <w:sz w:val="24"/>
        </w:rPr>
        <w:t xml:space="preserve"> </w:t>
      </w:r>
      <w:r w:rsidRPr="00C9671E">
        <w:rPr>
          <w:rFonts w:ascii="Times New Roman" w:hAnsi="Times New Roman" w:cs="Times New Roman"/>
          <w:sz w:val="24"/>
        </w:rPr>
        <w:t>540</w:t>
      </w:r>
      <w:r w:rsidR="00E003C4" w:rsidRPr="00C9671E">
        <w:rPr>
          <w:rFonts w:ascii="Times New Roman" w:hAnsi="Times New Roman" w:cs="Times New Roman"/>
          <w:sz w:val="24"/>
        </w:rPr>
        <w:t xml:space="preserve"> </w:t>
      </w:r>
      <w:r w:rsidRPr="00C9671E">
        <w:rPr>
          <w:rFonts w:ascii="Times New Roman" w:hAnsi="Times New Roman" w:cs="Times New Roman"/>
          <w:sz w:val="24"/>
        </w:rPr>
        <w:t>жалби,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кои</w:t>
      </w:r>
      <w:r w:rsidR="00E003C4" w:rsidRPr="00C9671E">
        <w:rPr>
          <w:rFonts w:ascii="Times New Roman" w:hAnsi="Times New Roman" w:cs="Times New Roman"/>
          <w:sz w:val="24"/>
        </w:rPr>
        <w:t xml:space="preserve"> </w:t>
      </w:r>
      <w:r w:rsidRPr="00C9671E">
        <w:rPr>
          <w:rFonts w:ascii="Times New Roman" w:hAnsi="Times New Roman" w:cs="Times New Roman"/>
          <w:sz w:val="24"/>
        </w:rPr>
        <w:t>45</w:t>
      </w:r>
      <w:r w:rsidR="00E003C4" w:rsidRPr="00C9671E">
        <w:rPr>
          <w:rFonts w:ascii="Times New Roman" w:hAnsi="Times New Roman" w:cs="Times New Roman"/>
          <w:sz w:val="24"/>
        </w:rPr>
        <w:t xml:space="preserve"> </w:t>
      </w:r>
      <w:r w:rsidRPr="00C9671E">
        <w:rPr>
          <w:rFonts w:ascii="Times New Roman" w:hAnsi="Times New Roman" w:cs="Times New Roman"/>
          <w:sz w:val="24"/>
        </w:rPr>
        <w:t>%</w:t>
      </w:r>
      <w:r w:rsidR="00E003C4" w:rsidRPr="00C9671E">
        <w:rPr>
          <w:rFonts w:ascii="Times New Roman" w:hAnsi="Times New Roman" w:cs="Times New Roman"/>
          <w:sz w:val="24"/>
        </w:rPr>
        <w:t xml:space="preserve"> </w:t>
      </w:r>
      <w:r w:rsidRPr="00C9671E">
        <w:rPr>
          <w:rFonts w:ascii="Times New Roman" w:hAnsi="Times New Roman" w:cs="Times New Roman"/>
          <w:sz w:val="24"/>
        </w:rPr>
        <w:t>беа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поврзани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наводни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повреди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правата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социјалните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мрежи.</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издаде</w:t>
      </w:r>
      <w:r w:rsidR="00E003C4" w:rsidRPr="00C9671E">
        <w:rPr>
          <w:rFonts w:ascii="Times New Roman" w:hAnsi="Times New Roman" w:cs="Times New Roman"/>
          <w:sz w:val="24"/>
        </w:rPr>
        <w:t xml:space="preserve"> </w:t>
      </w:r>
      <w:r w:rsidRPr="00C9671E">
        <w:rPr>
          <w:rFonts w:ascii="Times New Roman" w:hAnsi="Times New Roman" w:cs="Times New Roman"/>
          <w:sz w:val="24"/>
        </w:rPr>
        <w:t>17</w:t>
      </w:r>
      <w:r w:rsidR="00E003C4" w:rsidRPr="00C9671E">
        <w:rPr>
          <w:rFonts w:ascii="Times New Roman" w:hAnsi="Times New Roman" w:cs="Times New Roman"/>
          <w:sz w:val="24"/>
        </w:rPr>
        <w:t xml:space="preserve"> </w:t>
      </w:r>
      <w:r w:rsidRPr="00C9671E">
        <w:rPr>
          <w:rFonts w:ascii="Times New Roman" w:hAnsi="Times New Roman" w:cs="Times New Roman"/>
          <w:sz w:val="24"/>
        </w:rPr>
        <w:t>мислења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предлог-закони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како</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еден</w:t>
      </w:r>
      <w:r w:rsidR="00E003C4" w:rsidRPr="00C9671E">
        <w:rPr>
          <w:rFonts w:ascii="Times New Roman" w:hAnsi="Times New Roman" w:cs="Times New Roman"/>
          <w:sz w:val="24"/>
        </w:rPr>
        <w:t xml:space="preserve"> </w:t>
      </w:r>
      <w:r w:rsidRPr="00C9671E">
        <w:rPr>
          <w:rFonts w:ascii="Times New Roman" w:hAnsi="Times New Roman" w:cs="Times New Roman"/>
          <w:sz w:val="24"/>
        </w:rPr>
        <w:t>налог</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Таа</w:t>
      </w:r>
      <w:r w:rsidR="00E003C4" w:rsidRPr="00C9671E">
        <w:rPr>
          <w:rFonts w:ascii="Times New Roman" w:hAnsi="Times New Roman" w:cs="Times New Roman"/>
          <w:sz w:val="24"/>
        </w:rPr>
        <w:t xml:space="preserve"> </w:t>
      </w:r>
      <w:r w:rsidRPr="00C9671E">
        <w:rPr>
          <w:rFonts w:ascii="Times New Roman" w:hAnsi="Times New Roman" w:cs="Times New Roman"/>
          <w:sz w:val="24"/>
        </w:rPr>
        <w:t>иницираше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измени</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три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цел</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Pr="00C9671E">
        <w:rPr>
          <w:rFonts w:ascii="Times New Roman" w:hAnsi="Times New Roman" w:cs="Times New Roman"/>
          <w:sz w:val="24"/>
        </w:rPr>
        <w:t>усогласи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секогаш</w:t>
      </w:r>
      <w:r w:rsidR="00E003C4" w:rsidRPr="00C9671E">
        <w:rPr>
          <w:rFonts w:ascii="Times New Roman" w:hAnsi="Times New Roman" w:cs="Times New Roman"/>
          <w:sz w:val="24"/>
        </w:rPr>
        <w:t xml:space="preserve"> </w:t>
      </w:r>
      <w:r w:rsidRPr="00C9671E">
        <w:rPr>
          <w:rFonts w:ascii="Times New Roman" w:hAnsi="Times New Roman" w:cs="Times New Roman"/>
          <w:sz w:val="24"/>
        </w:rPr>
        <w:t>систематски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консултирана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w:t>
      </w:r>
      <w:r w:rsidR="00E003C4" w:rsidRPr="00C9671E">
        <w:rPr>
          <w:rFonts w:ascii="Times New Roman" w:hAnsi="Times New Roman" w:cs="Times New Roman"/>
          <w:sz w:val="24"/>
        </w:rPr>
        <w:t xml:space="preserve"> </w:t>
      </w:r>
      <w:r w:rsidRPr="00C9671E">
        <w:rPr>
          <w:rFonts w:ascii="Times New Roman" w:hAnsi="Times New Roman" w:cs="Times New Roman"/>
          <w:sz w:val="24"/>
        </w:rPr>
        <w:t>или</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законодавството</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спроведување</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нејзините</w:t>
      </w:r>
      <w:r w:rsidR="00E003C4" w:rsidRPr="00C9671E">
        <w:rPr>
          <w:rFonts w:ascii="Times New Roman" w:hAnsi="Times New Roman" w:cs="Times New Roman"/>
          <w:sz w:val="24"/>
        </w:rPr>
        <w:t xml:space="preserve"> </w:t>
      </w:r>
      <w:r w:rsidRPr="00C9671E">
        <w:rPr>
          <w:rFonts w:ascii="Times New Roman" w:hAnsi="Times New Roman" w:cs="Times New Roman"/>
          <w:sz w:val="24"/>
        </w:rPr>
        <w:t>совети</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спроведуваат</w:t>
      </w:r>
      <w:r w:rsidR="00E003C4" w:rsidRPr="00C9671E">
        <w:rPr>
          <w:rFonts w:ascii="Times New Roman" w:hAnsi="Times New Roman" w:cs="Times New Roman"/>
          <w:sz w:val="24"/>
        </w:rPr>
        <w:t xml:space="preserve"> </w:t>
      </w:r>
      <w:r w:rsidR="0012222D" w:rsidRPr="00C9671E">
        <w:rPr>
          <w:rFonts w:ascii="Times New Roman" w:hAnsi="Times New Roman" w:cs="Times New Roman"/>
          <w:sz w:val="24"/>
        </w:rPr>
        <w:t>секогаш.</w:t>
      </w:r>
    </w:p>
    <w:p w14:paraId="0B3F1EF2" w14:textId="707397B3"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Потребни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повеќе</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подобрувања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полето</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избирачкиот</w:t>
      </w:r>
      <w:r w:rsidR="00E003C4" w:rsidRPr="00C9671E">
        <w:rPr>
          <w:rFonts w:ascii="Times New Roman" w:hAnsi="Times New Roman" w:cs="Times New Roman"/>
          <w:sz w:val="24"/>
        </w:rPr>
        <w:t xml:space="preserve"> </w:t>
      </w:r>
      <w:r w:rsidRPr="00C9671E">
        <w:rPr>
          <w:rFonts w:ascii="Times New Roman" w:hAnsi="Times New Roman" w:cs="Times New Roman"/>
          <w:sz w:val="24"/>
        </w:rPr>
        <w:t>сектор.</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законик</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воведе</w:t>
      </w:r>
      <w:r w:rsidR="00E003C4" w:rsidRPr="00C9671E">
        <w:rPr>
          <w:rFonts w:ascii="Times New Roman" w:hAnsi="Times New Roman" w:cs="Times New Roman"/>
          <w:sz w:val="24"/>
        </w:rPr>
        <w:t xml:space="preserve"> </w:t>
      </w:r>
      <w:r w:rsidRPr="00C9671E">
        <w:rPr>
          <w:rFonts w:ascii="Times New Roman" w:hAnsi="Times New Roman" w:cs="Times New Roman"/>
          <w:sz w:val="24"/>
        </w:rPr>
        <w:t>употребата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биометриски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не</w:t>
      </w:r>
      <w:r w:rsidR="00E003C4" w:rsidRPr="00C9671E">
        <w:rPr>
          <w:rFonts w:ascii="Times New Roman" w:hAnsi="Times New Roman" w:cs="Times New Roman"/>
          <w:sz w:val="24"/>
        </w:rPr>
        <w:t xml:space="preserve"> </w:t>
      </w:r>
      <w:r w:rsidRPr="00C9671E">
        <w:rPr>
          <w:rFonts w:ascii="Times New Roman" w:hAnsi="Times New Roman" w:cs="Times New Roman"/>
          <w:sz w:val="24"/>
        </w:rPr>
        <w:t>вклучуваше</w:t>
      </w:r>
      <w:r w:rsidR="00E003C4" w:rsidRPr="00C9671E">
        <w:rPr>
          <w:rFonts w:ascii="Times New Roman" w:hAnsi="Times New Roman" w:cs="Times New Roman"/>
          <w:sz w:val="24"/>
        </w:rPr>
        <w:t xml:space="preserve"> </w:t>
      </w:r>
      <w:r w:rsidRPr="00C9671E">
        <w:rPr>
          <w:rFonts w:ascii="Times New Roman" w:hAnsi="Times New Roman" w:cs="Times New Roman"/>
          <w:sz w:val="24"/>
        </w:rPr>
        <w:t>претходни</w:t>
      </w:r>
      <w:r w:rsidR="00E003C4" w:rsidRPr="00C9671E">
        <w:rPr>
          <w:rFonts w:ascii="Times New Roman" w:hAnsi="Times New Roman" w:cs="Times New Roman"/>
          <w:sz w:val="24"/>
        </w:rPr>
        <w:t xml:space="preserve"> </w:t>
      </w:r>
      <w:r w:rsidRPr="00C9671E">
        <w:rPr>
          <w:rFonts w:ascii="Times New Roman" w:hAnsi="Times New Roman" w:cs="Times New Roman"/>
          <w:sz w:val="24"/>
        </w:rPr>
        <w:t>консултации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Меѓутоа,</w:t>
      </w:r>
      <w:r w:rsidR="00E003C4" w:rsidRPr="00C9671E">
        <w:rPr>
          <w:rFonts w:ascii="Times New Roman" w:hAnsi="Times New Roman" w:cs="Times New Roman"/>
          <w:sz w:val="24"/>
        </w:rPr>
        <w:t xml:space="preserve"> </w:t>
      </w:r>
      <w:r w:rsidRPr="00C9671E">
        <w:rPr>
          <w:rFonts w:ascii="Times New Roman" w:hAnsi="Times New Roman" w:cs="Times New Roman"/>
          <w:sz w:val="24"/>
        </w:rPr>
        <w:t>Државната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изборна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w:t>
      </w:r>
      <w:r w:rsidR="00E003C4" w:rsidRPr="00C9671E">
        <w:rPr>
          <w:rFonts w:ascii="Times New Roman" w:hAnsi="Times New Roman" w:cs="Times New Roman"/>
          <w:sz w:val="24"/>
        </w:rPr>
        <w:t xml:space="preserve"> </w:t>
      </w:r>
      <w:r w:rsidR="00977511">
        <w:rPr>
          <w:rFonts w:ascii="Times New Roman" w:hAnsi="Times New Roman" w:cs="Times New Roman"/>
          <w:sz w:val="24"/>
        </w:rPr>
        <w:t>отстрани</w:t>
      </w:r>
      <w:r w:rsidR="00D61F59" w:rsidRPr="00C9671E">
        <w:rPr>
          <w:rFonts w:ascii="Times New Roman" w:hAnsi="Times New Roman" w:cs="Times New Roman"/>
          <w:sz w:val="24"/>
        </w:rPr>
        <w:t xml:space="preserve"> </w:t>
      </w:r>
      <w:r w:rsidRPr="00C9671E">
        <w:rPr>
          <w:rFonts w:ascii="Times New Roman" w:hAnsi="Times New Roman" w:cs="Times New Roman"/>
          <w:sz w:val="24"/>
        </w:rPr>
        <w:t>некои</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неправилностите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w:t>
      </w:r>
      <w:r w:rsidR="00823DC0" w:rsidRPr="00C9671E">
        <w:rPr>
          <w:rFonts w:ascii="Times New Roman" w:hAnsi="Times New Roman" w:cs="Times New Roman"/>
          <w:sz w:val="24"/>
        </w:rPr>
        <w:t>ри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надзорот</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што</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ги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утврди</w:t>
      </w:r>
      <w:r w:rsidR="00E003C4" w:rsidRPr="00C9671E">
        <w:rPr>
          <w:rFonts w:ascii="Times New Roman" w:hAnsi="Times New Roman" w:cs="Times New Roman"/>
          <w:sz w:val="24"/>
        </w:rPr>
        <w:t xml:space="preserve"> </w:t>
      </w:r>
      <w:r w:rsidR="00823DC0" w:rsidRPr="00C9671E">
        <w:rPr>
          <w:rFonts w:ascii="Times New Roman" w:hAnsi="Times New Roman" w:cs="Times New Roman"/>
          <w:sz w:val="24"/>
        </w:rPr>
        <w:t>АЗЛП.</w:t>
      </w:r>
    </w:p>
    <w:p w14:paraId="0F92E5EF"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извештајниот</w:t>
      </w:r>
      <w:r w:rsidR="00E003C4" w:rsidRPr="00C9671E">
        <w:rPr>
          <w:rFonts w:ascii="Times New Roman" w:hAnsi="Times New Roman" w:cs="Times New Roman"/>
          <w:sz w:val="24"/>
        </w:rPr>
        <w:t xml:space="preserve"> </w:t>
      </w:r>
      <w:r w:rsidRPr="00C9671E">
        <w:rPr>
          <w:rFonts w:ascii="Times New Roman" w:hAnsi="Times New Roman" w:cs="Times New Roman"/>
          <w:sz w:val="24"/>
        </w:rPr>
        <w:t>период,</w:t>
      </w:r>
      <w:r w:rsidR="00E003C4" w:rsidRPr="00C9671E">
        <w:rPr>
          <w:rFonts w:ascii="Times New Roman" w:hAnsi="Times New Roman" w:cs="Times New Roman"/>
          <w:sz w:val="24"/>
        </w:rPr>
        <w:t xml:space="preserve"> </w:t>
      </w:r>
      <w:r w:rsidRPr="00C9671E">
        <w:rPr>
          <w:rFonts w:ascii="Times New Roman" w:hAnsi="Times New Roman" w:cs="Times New Roman"/>
          <w:sz w:val="24"/>
        </w:rPr>
        <w:t>АЗЛП</w:t>
      </w:r>
      <w:r w:rsidR="00E003C4" w:rsidRPr="00C9671E">
        <w:rPr>
          <w:rFonts w:ascii="Times New Roman" w:hAnsi="Times New Roman" w:cs="Times New Roman"/>
          <w:sz w:val="24"/>
        </w:rPr>
        <w:t xml:space="preserve"> </w:t>
      </w:r>
      <w:r w:rsidRPr="00C9671E">
        <w:rPr>
          <w:rFonts w:ascii="Times New Roman" w:hAnsi="Times New Roman" w:cs="Times New Roman"/>
          <w:sz w:val="24"/>
        </w:rPr>
        <w:t>изврши</w:t>
      </w:r>
      <w:r w:rsidR="00E003C4" w:rsidRPr="00C9671E">
        <w:rPr>
          <w:rFonts w:ascii="Times New Roman" w:hAnsi="Times New Roman" w:cs="Times New Roman"/>
          <w:sz w:val="24"/>
        </w:rPr>
        <w:t xml:space="preserve"> </w:t>
      </w:r>
      <w:r w:rsidRPr="00C9671E">
        <w:rPr>
          <w:rFonts w:ascii="Times New Roman" w:hAnsi="Times New Roman" w:cs="Times New Roman"/>
          <w:sz w:val="24"/>
        </w:rPr>
        <w:t>уште</w:t>
      </w:r>
      <w:r w:rsidR="00E003C4" w:rsidRPr="00C9671E">
        <w:rPr>
          <w:rFonts w:ascii="Times New Roman" w:hAnsi="Times New Roman" w:cs="Times New Roman"/>
          <w:sz w:val="24"/>
        </w:rPr>
        <w:t xml:space="preserve"> </w:t>
      </w:r>
      <w:r w:rsidRPr="00C9671E">
        <w:rPr>
          <w:rFonts w:ascii="Times New Roman" w:hAnsi="Times New Roman" w:cs="Times New Roman"/>
          <w:sz w:val="24"/>
        </w:rPr>
        <w:t>една</w:t>
      </w:r>
      <w:r w:rsidR="00E003C4" w:rsidRPr="00C9671E">
        <w:rPr>
          <w:rFonts w:ascii="Times New Roman" w:hAnsi="Times New Roman" w:cs="Times New Roman"/>
          <w:sz w:val="24"/>
        </w:rPr>
        <w:t xml:space="preserve"> </w:t>
      </w:r>
      <w:r w:rsidRPr="00C9671E">
        <w:rPr>
          <w:rFonts w:ascii="Times New Roman" w:hAnsi="Times New Roman" w:cs="Times New Roman"/>
          <w:sz w:val="24"/>
        </w:rPr>
        <w:t>надзорна</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проверка</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Оперативно-техничката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агенција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(ОТА)</w:t>
      </w:r>
      <w:r w:rsidR="00E003C4" w:rsidRPr="00C9671E">
        <w:rPr>
          <w:rFonts w:ascii="Times New Roman" w:hAnsi="Times New Roman" w:cs="Times New Roman"/>
          <w:sz w:val="24"/>
        </w:rPr>
        <w:t xml:space="preserve"> </w:t>
      </w:r>
      <w:r w:rsidR="00E201D1" w:rsidRPr="00C9671E">
        <w:rPr>
          <w:rFonts w:ascii="Times New Roman" w:hAnsi="Times New Roman" w:cs="Times New Roman"/>
          <w:sz w:val="24"/>
        </w:rPr>
        <w:t>з</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следење</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комуникациите.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Постигнат</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напредок</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lastRenderedPageBreak/>
        <w:t>однос</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усогласеноста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прописите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заштита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лични</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податоци.</w:t>
      </w:r>
      <w:r w:rsidR="00E003C4" w:rsidRPr="00C9671E">
        <w:rPr>
          <w:rFonts w:ascii="Times New Roman" w:hAnsi="Times New Roman" w:cs="Times New Roman"/>
          <w:sz w:val="24"/>
        </w:rPr>
        <w:t xml:space="preserve"> </w:t>
      </w:r>
      <w:r w:rsidRPr="00C9671E">
        <w:rPr>
          <w:rFonts w:ascii="Times New Roman" w:hAnsi="Times New Roman" w:cs="Times New Roman"/>
          <w:sz w:val="24"/>
        </w:rPr>
        <w:t>ОТА</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6</w:t>
      </w:r>
      <w:r w:rsidR="00E003C4" w:rsidRPr="00C9671E">
        <w:rPr>
          <w:rFonts w:ascii="Times New Roman" w:hAnsi="Times New Roman" w:cs="Times New Roman"/>
          <w:sz w:val="24"/>
        </w:rPr>
        <w:t xml:space="preserve"> </w:t>
      </w:r>
      <w:r w:rsidRPr="00C9671E">
        <w:rPr>
          <w:rFonts w:ascii="Times New Roman" w:hAnsi="Times New Roman" w:cs="Times New Roman"/>
          <w:sz w:val="24"/>
        </w:rPr>
        <w:t>од</w:t>
      </w:r>
      <w:r w:rsidR="00E003C4" w:rsidRPr="00C9671E">
        <w:rPr>
          <w:rFonts w:ascii="Times New Roman" w:hAnsi="Times New Roman" w:cs="Times New Roman"/>
          <w:sz w:val="24"/>
        </w:rPr>
        <w:t xml:space="preserve"> </w:t>
      </w:r>
      <w:r w:rsidRPr="00C9671E">
        <w:rPr>
          <w:rFonts w:ascii="Times New Roman" w:hAnsi="Times New Roman" w:cs="Times New Roman"/>
          <w:sz w:val="24"/>
        </w:rPr>
        <w:t>12</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делумно</w:t>
      </w:r>
      <w:r w:rsidR="00E003C4" w:rsidRPr="00C9671E">
        <w:rPr>
          <w:rFonts w:ascii="Times New Roman" w:hAnsi="Times New Roman" w:cs="Times New Roman"/>
          <w:sz w:val="24"/>
        </w:rPr>
        <w:t xml:space="preserve"> </w:t>
      </w:r>
      <w:r w:rsidRPr="00C9671E">
        <w:rPr>
          <w:rFonts w:ascii="Times New Roman" w:hAnsi="Times New Roman" w:cs="Times New Roman"/>
          <w:sz w:val="24"/>
        </w:rPr>
        <w:t>постапи</w:t>
      </w:r>
      <w:r w:rsidR="00E003C4" w:rsidRPr="00C9671E">
        <w:rPr>
          <w:rFonts w:ascii="Times New Roman" w:hAnsi="Times New Roman" w:cs="Times New Roman"/>
          <w:sz w:val="24"/>
        </w:rPr>
        <w:t xml:space="preserve"> </w:t>
      </w:r>
      <w:r w:rsidRPr="00C9671E">
        <w:rPr>
          <w:rFonts w:ascii="Times New Roman" w:hAnsi="Times New Roman" w:cs="Times New Roman"/>
          <w:sz w:val="24"/>
        </w:rPr>
        <w:t>по</w:t>
      </w:r>
      <w:r w:rsidR="00E003C4" w:rsidRPr="00C9671E">
        <w:rPr>
          <w:rFonts w:ascii="Times New Roman" w:hAnsi="Times New Roman" w:cs="Times New Roman"/>
          <w:sz w:val="24"/>
        </w:rPr>
        <w:t xml:space="preserve"> </w:t>
      </w:r>
      <w:r w:rsidRPr="00C9671E">
        <w:rPr>
          <w:rFonts w:ascii="Times New Roman" w:hAnsi="Times New Roman" w:cs="Times New Roman"/>
          <w:sz w:val="24"/>
        </w:rPr>
        <w:t>други</w:t>
      </w:r>
      <w:r w:rsidR="00E003C4" w:rsidRPr="00C9671E">
        <w:rPr>
          <w:rFonts w:ascii="Times New Roman" w:hAnsi="Times New Roman" w:cs="Times New Roman"/>
          <w:sz w:val="24"/>
        </w:rPr>
        <w:t xml:space="preserve"> </w:t>
      </w:r>
      <w:r w:rsidRPr="00C9671E">
        <w:rPr>
          <w:rFonts w:ascii="Times New Roman" w:hAnsi="Times New Roman" w:cs="Times New Roman"/>
          <w:sz w:val="24"/>
        </w:rPr>
        <w:t>обврски.</w:t>
      </w:r>
      <w:r w:rsidR="00E003C4" w:rsidRPr="00C9671E">
        <w:rPr>
          <w:rFonts w:ascii="Times New Roman" w:hAnsi="Times New Roman" w:cs="Times New Roman"/>
          <w:sz w:val="24"/>
        </w:rPr>
        <w:t xml:space="preserve"> </w:t>
      </w:r>
    </w:p>
    <w:p w14:paraId="118BC843" w14:textId="77777777" w:rsidR="001602DC" w:rsidRPr="00C9671E" w:rsidRDefault="001602DC" w:rsidP="0012222D">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Слободата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на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мислење,</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совеста</w:t>
      </w:r>
      <w:r w:rsidR="00E003C4" w:rsidRPr="00C9671E">
        <w:rPr>
          <w:rFonts w:ascii="Times New Roman" w:hAnsi="Times New Roman" w:cs="Times New Roman"/>
          <w:b/>
          <w:sz w:val="24"/>
        </w:rPr>
        <w:t xml:space="preserve"> </w:t>
      </w:r>
      <w:r w:rsidRPr="00C9671E">
        <w:rPr>
          <w:rFonts w:ascii="Times New Roman" w:hAnsi="Times New Roman" w:cs="Times New Roman"/>
          <w:b/>
          <w:sz w:val="24"/>
        </w:rPr>
        <w:t>и</w:t>
      </w:r>
      <w:r w:rsidR="00E003C4" w:rsidRPr="00C9671E">
        <w:rPr>
          <w:rFonts w:ascii="Times New Roman" w:hAnsi="Times New Roman" w:cs="Times New Roman"/>
          <w:b/>
          <w:sz w:val="24"/>
        </w:rPr>
        <w:t xml:space="preserve"> </w:t>
      </w:r>
      <w:r w:rsidRPr="00C9671E">
        <w:rPr>
          <w:rFonts w:ascii="Times New Roman" w:hAnsi="Times New Roman" w:cs="Times New Roman"/>
          <w:b/>
          <w:sz w:val="24"/>
        </w:rPr>
        <w:t>религијата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загарантирана</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закон</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во</w:t>
      </w:r>
      <w:r w:rsidR="00E003C4" w:rsidRPr="00C9671E">
        <w:rPr>
          <w:rFonts w:ascii="Times New Roman" w:hAnsi="Times New Roman" w:cs="Times New Roman"/>
          <w:sz w:val="24"/>
        </w:rPr>
        <w:t xml:space="preserve"> </w:t>
      </w:r>
      <w:r w:rsidRPr="00C9671E">
        <w:rPr>
          <w:rFonts w:ascii="Times New Roman" w:hAnsi="Times New Roman" w:cs="Times New Roman"/>
          <w:sz w:val="24"/>
        </w:rPr>
        <w:t>практика,</w:t>
      </w:r>
      <w:r w:rsidR="00E003C4" w:rsidRPr="00C9671E">
        <w:rPr>
          <w:rFonts w:ascii="Times New Roman" w:hAnsi="Times New Roman" w:cs="Times New Roman"/>
          <w:sz w:val="24"/>
        </w:rPr>
        <w:t xml:space="preserve"> </w:t>
      </w:r>
      <w:r w:rsidRPr="00C9671E">
        <w:rPr>
          <w:rFonts w:ascii="Times New Roman" w:hAnsi="Times New Roman" w:cs="Times New Roman"/>
          <w:sz w:val="24"/>
        </w:rPr>
        <w:t>а</w:t>
      </w:r>
      <w:r w:rsidR="00E003C4" w:rsidRPr="00C9671E">
        <w:rPr>
          <w:rFonts w:ascii="Times New Roman" w:hAnsi="Times New Roman" w:cs="Times New Roman"/>
          <w:sz w:val="24"/>
        </w:rPr>
        <w:t xml:space="preserve"> </w:t>
      </w:r>
      <w:r w:rsidRPr="00C9671E">
        <w:rPr>
          <w:rFonts w:ascii="Times New Roman" w:hAnsi="Times New Roman" w:cs="Times New Roman"/>
          <w:sz w:val="24"/>
        </w:rPr>
        <w:t>дискриминацијата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врз</w:t>
      </w:r>
      <w:r w:rsidR="00E003C4" w:rsidRPr="00C9671E">
        <w:rPr>
          <w:rFonts w:ascii="Times New Roman" w:hAnsi="Times New Roman" w:cs="Times New Roman"/>
          <w:sz w:val="24"/>
        </w:rPr>
        <w:t xml:space="preserve"> </w:t>
      </w:r>
      <w:r w:rsidRPr="00C9671E">
        <w:rPr>
          <w:rFonts w:ascii="Times New Roman" w:hAnsi="Times New Roman" w:cs="Times New Roman"/>
          <w:sz w:val="24"/>
        </w:rPr>
        <w:t>основа</w:t>
      </w:r>
      <w:r w:rsidR="00E003C4" w:rsidRPr="00C9671E">
        <w:rPr>
          <w:rFonts w:ascii="Times New Roman" w:hAnsi="Times New Roman" w:cs="Times New Roman"/>
          <w:sz w:val="24"/>
        </w:rPr>
        <w:t xml:space="preserve"> </w:t>
      </w:r>
      <w:r w:rsidRPr="00C9671E">
        <w:rPr>
          <w:rFonts w:ascii="Times New Roman" w:hAnsi="Times New Roman" w:cs="Times New Roman"/>
          <w:sz w:val="24"/>
        </w:rPr>
        <w:t>на</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религија</w:t>
      </w:r>
      <w:r w:rsidR="00E003C4" w:rsidRPr="00C9671E">
        <w:rPr>
          <w:rFonts w:ascii="Times New Roman" w:hAnsi="Times New Roman" w:cs="Times New Roman"/>
          <w:sz w:val="24"/>
        </w:rPr>
        <w:t xml:space="preserve"> </w:t>
      </w:r>
      <w:r w:rsidRPr="00C9671E">
        <w:rPr>
          <w:rFonts w:ascii="Times New Roman" w:hAnsi="Times New Roman" w:cs="Times New Roman"/>
          <w:sz w:val="24"/>
        </w:rPr>
        <w:t>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забранета.</w:t>
      </w:r>
      <w:r w:rsidR="00E003C4" w:rsidRPr="00C9671E">
        <w:rPr>
          <w:rFonts w:ascii="Times New Roman" w:hAnsi="Times New Roman" w:cs="Times New Roman"/>
          <w:sz w:val="24"/>
        </w:rPr>
        <w:t xml:space="preserve"> </w:t>
      </w:r>
      <w:r w:rsidRPr="00C9671E">
        <w:rPr>
          <w:rFonts w:ascii="Times New Roman" w:hAnsi="Times New Roman" w:cs="Times New Roman"/>
          <w:sz w:val="24"/>
        </w:rPr>
        <w:t>Комисијата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за</w:t>
      </w:r>
      <w:r w:rsidR="00E003C4" w:rsidRPr="00C9671E">
        <w:rPr>
          <w:rFonts w:ascii="Times New Roman" w:hAnsi="Times New Roman" w:cs="Times New Roman"/>
          <w:sz w:val="24"/>
        </w:rPr>
        <w:t xml:space="preserve"> </w:t>
      </w:r>
      <w:r w:rsidRPr="00C9671E">
        <w:rPr>
          <w:rFonts w:ascii="Times New Roman" w:hAnsi="Times New Roman" w:cs="Times New Roman"/>
          <w:sz w:val="24"/>
        </w:rPr>
        <w:t>односи</w:t>
      </w:r>
      <w:r w:rsidR="00E003C4" w:rsidRPr="00C9671E">
        <w:rPr>
          <w:rFonts w:ascii="Times New Roman" w:hAnsi="Times New Roman" w:cs="Times New Roman"/>
          <w:sz w:val="24"/>
        </w:rPr>
        <w:t xml:space="preserve"> </w:t>
      </w:r>
      <w:r w:rsidRPr="00C9671E">
        <w:rPr>
          <w:rFonts w:ascii="Times New Roman" w:hAnsi="Times New Roman" w:cs="Times New Roman"/>
          <w:sz w:val="24"/>
        </w:rPr>
        <w:t>со</w:t>
      </w:r>
      <w:r w:rsidR="00E003C4" w:rsidRPr="00C9671E">
        <w:rPr>
          <w:rFonts w:ascii="Times New Roman" w:hAnsi="Times New Roman" w:cs="Times New Roman"/>
          <w:sz w:val="24"/>
        </w:rPr>
        <w:t xml:space="preserve"> </w:t>
      </w:r>
      <w:r w:rsidRPr="00C9671E">
        <w:rPr>
          <w:rFonts w:ascii="Times New Roman" w:hAnsi="Times New Roman" w:cs="Times New Roman"/>
          <w:sz w:val="24"/>
        </w:rPr>
        <w:t>верските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заедници</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религиозни</w:t>
      </w:r>
      <w:r w:rsidR="00E003C4" w:rsidRPr="00C9671E">
        <w:rPr>
          <w:rFonts w:ascii="Times New Roman" w:hAnsi="Times New Roman" w:cs="Times New Roman"/>
          <w:sz w:val="24"/>
        </w:rPr>
        <w:t xml:space="preserve"> </w:t>
      </w:r>
      <w:r w:rsidRPr="00C9671E">
        <w:rPr>
          <w:rFonts w:ascii="Times New Roman" w:hAnsi="Times New Roman" w:cs="Times New Roman"/>
          <w:sz w:val="24"/>
        </w:rPr>
        <w:t>групи</w:t>
      </w:r>
      <w:r w:rsidR="00E003C4" w:rsidRPr="00C9671E">
        <w:rPr>
          <w:rFonts w:ascii="Times New Roman" w:hAnsi="Times New Roman" w:cs="Times New Roman"/>
          <w:sz w:val="24"/>
        </w:rPr>
        <w:t xml:space="preserve"> </w:t>
      </w:r>
      <w:r w:rsidRPr="00C9671E">
        <w:rPr>
          <w:rFonts w:ascii="Times New Roman" w:hAnsi="Times New Roman" w:cs="Times New Roman"/>
          <w:sz w:val="24"/>
        </w:rPr>
        <w:t>се</w:t>
      </w:r>
      <w:r w:rsidR="00E003C4" w:rsidRPr="00C9671E">
        <w:rPr>
          <w:rFonts w:ascii="Times New Roman" w:hAnsi="Times New Roman" w:cs="Times New Roman"/>
          <w:sz w:val="24"/>
        </w:rPr>
        <w:t xml:space="preserve"> </w:t>
      </w:r>
      <w:r w:rsidRPr="00C9671E">
        <w:rPr>
          <w:rFonts w:ascii="Times New Roman" w:hAnsi="Times New Roman" w:cs="Times New Roman"/>
          <w:sz w:val="24"/>
        </w:rPr>
        <w:t>охрабрува</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организира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меѓурелигиски</w:t>
      </w:r>
      <w:r w:rsidR="00E003C4" w:rsidRPr="00C9671E">
        <w:rPr>
          <w:rFonts w:ascii="Times New Roman" w:hAnsi="Times New Roman" w:cs="Times New Roman"/>
          <w:sz w:val="24"/>
        </w:rPr>
        <w:t xml:space="preserve"> </w:t>
      </w:r>
      <w:r w:rsidRPr="00C9671E">
        <w:rPr>
          <w:rFonts w:ascii="Times New Roman" w:hAnsi="Times New Roman" w:cs="Times New Roman"/>
          <w:sz w:val="24"/>
        </w:rPr>
        <w:t>дијалог</w:t>
      </w:r>
      <w:r w:rsidR="00E003C4" w:rsidRPr="00C9671E">
        <w:rPr>
          <w:rFonts w:ascii="Times New Roman" w:hAnsi="Times New Roman" w:cs="Times New Roman"/>
          <w:sz w:val="24"/>
        </w:rPr>
        <w:t xml:space="preserve"> </w:t>
      </w:r>
      <w:r w:rsidRPr="00C9671E">
        <w:rPr>
          <w:rFonts w:ascii="Times New Roman" w:hAnsi="Times New Roman" w:cs="Times New Roman"/>
          <w:sz w:val="24"/>
        </w:rPr>
        <w:t>и</w:t>
      </w:r>
      <w:r w:rsidR="00E003C4" w:rsidRPr="00C9671E">
        <w:rPr>
          <w:rFonts w:ascii="Times New Roman" w:hAnsi="Times New Roman" w:cs="Times New Roman"/>
          <w:sz w:val="24"/>
        </w:rPr>
        <w:t xml:space="preserve"> </w:t>
      </w:r>
      <w:r w:rsidRPr="00C9671E">
        <w:rPr>
          <w:rFonts w:ascii="Times New Roman" w:hAnsi="Times New Roman" w:cs="Times New Roman"/>
          <w:sz w:val="24"/>
        </w:rPr>
        <w:t>да</w:t>
      </w:r>
      <w:r w:rsidR="00E003C4" w:rsidRPr="00C9671E">
        <w:rPr>
          <w:rFonts w:ascii="Times New Roman" w:hAnsi="Times New Roman" w:cs="Times New Roman"/>
          <w:sz w:val="24"/>
        </w:rPr>
        <w:t xml:space="preserve"> </w:t>
      </w:r>
      <w:r w:rsidRPr="00C9671E">
        <w:rPr>
          <w:rFonts w:ascii="Times New Roman" w:hAnsi="Times New Roman" w:cs="Times New Roman"/>
          <w:sz w:val="24"/>
        </w:rPr>
        <w:t>ја</w:t>
      </w:r>
      <w:r w:rsidR="00E003C4" w:rsidRPr="00C9671E">
        <w:rPr>
          <w:rFonts w:ascii="Times New Roman" w:hAnsi="Times New Roman" w:cs="Times New Roman"/>
          <w:sz w:val="24"/>
        </w:rPr>
        <w:t xml:space="preserve"> </w:t>
      </w:r>
      <w:r w:rsidRPr="00C9671E">
        <w:rPr>
          <w:rFonts w:ascii="Times New Roman" w:hAnsi="Times New Roman" w:cs="Times New Roman"/>
          <w:sz w:val="24"/>
        </w:rPr>
        <w:t>подобри</w:t>
      </w:r>
      <w:r w:rsidR="00E003C4" w:rsidRPr="00C9671E">
        <w:rPr>
          <w:rFonts w:ascii="Times New Roman" w:hAnsi="Times New Roman" w:cs="Times New Roman"/>
          <w:sz w:val="24"/>
        </w:rPr>
        <w:t xml:space="preserve"> </w:t>
      </w:r>
      <w:r w:rsidRPr="00C9671E">
        <w:rPr>
          <w:rFonts w:ascii="Times New Roman" w:hAnsi="Times New Roman" w:cs="Times New Roman"/>
          <w:sz w:val="24"/>
        </w:rPr>
        <w:t>соработката</w:t>
      </w:r>
      <w:r w:rsidR="00E003C4" w:rsidRPr="00C9671E">
        <w:rPr>
          <w:rFonts w:ascii="Times New Roman" w:hAnsi="Times New Roman" w:cs="Times New Roman"/>
          <w:sz w:val="24"/>
        </w:rPr>
        <w:t xml:space="preserve"> </w:t>
      </w:r>
      <w:r w:rsidRPr="00C9671E">
        <w:rPr>
          <w:rFonts w:ascii="Times New Roman" w:hAnsi="Times New Roman" w:cs="Times New Roman"/>
          <w:sz w:val="24"/>
        </w:rPr>
        <w:t>меѓу</w:t>
      </w:r>
      <w:r w:rsidR="00E003C4" w:rsidRPr="00C9671E">
        <w:rPr>
          <w:rFonts w:ascii="Times New Roman" w:hAnsi="Times New Roman" w:cs="Times New Roman"/>
          <w:sz w:val="24"/>
        </w:rPr>
        <w:t xml:space="preserve"> </w:t>
      </w:r>
      <w:r w:rsidRPr="00C9671E">
        <w:rPr>
          <w:rFonts w:ascii="Times New Roman" w:hAnsi="Times New Roman" w:cs="Times New Roman"/>
          <w:sz w:val="24"/>
        </w:rPr>
        <w:t>верските</w:t>
      </w:r>
      <w:r w:rsidR="00E003C4" w:rsidRPr="00C9671E">
        <w:rPr>
          <w:rFonts w:ascii="Times New Roman" w:hAnsi="Times New Roman" w:cs="Times New Roman"/>
          <w:sz w:val="24"/>
        </w:rPr>
        <w:t xml:space="preserve"> </w:t>
      </w:r>
      <w:r w:rsidRPr="00C9671E">
        <w:rPr>
          <w:rFonts w:ascii="Times New Roman" w:hAnsi="Times New Roman" w:cs="Times New Roman"/>
          <w:sz w:val="24"/>
        </w:rPr>
        <w:t>заедници.</w:t>
      </w:r>
    </w:p>
    <w:p w14:paraId="3A8E5BED" w14:textId="77777777" w:rsidR="001602DC" w:rsidRDefault="001602DC" w:rsidP="0012222D">
      <w:pPr>
        <w:spacing w:after="120" w:line="240" w:lineRule="auto"/>
        <w:jc w:val="both"/>
        <w:rPr>
          <w:rFonts w:ascii="Times New Roman" w:hAnsi="Times New Roman" w:cs="Times New Roman"/>
          <w:sz w:val="24"/>
        </w:rPr>
      </w:pPr>
      <w:r w:rsidRPr="00C9671E">
        <w:rPr>
          <w:rFonts w:ascii="Times New Roman" w:hAnsi="Times New Roman" w:cs="Times New Roman"/>
          <w:sz w:val="24"/>
        </w:rPr>
        <w:t>----------------------------------------------------------------------------------------------------------------</w:t>
      </w:r>
    </w:p>
    <w:p w14:paraId="24025FA9"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
          <w:bCs/>
          <w:sz w:val="24"/>
          <w:szCs w:val="24"/>
        </w:rPr>
      </w:pPr>
      <w:r w:rsidRPr="00C9671E">
        <w:rPr>
          <w:rFonts w:ascii="Times New Roman" w:hAnsi="Times New Roman" w:cs="Times New Roman"/>
          <w:b/>
          <w:sz w:val="24"/>
        </w:rPr>
        <w:t xml:space="preserve">Слобода на изразување </w:t>
      </w:r>
    </w:p>
    <w:p w14:paraId="0A1C9B55" w14:textId="330DC684"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Северна Македонија постигна </w:t>
      </w:r>
      <w:r w:rsidRPr="000E49DF">
        <w:rPr>
          <w:rFonts w:ascii="Times New Roman" w:hAnsi="Times New Roman" w:cs="Times New Roman"/>
          <w:b/>
          <w:sz w:val="24"/>
        </w:rPr>
        <w:t>одредено</w:t>
      </w:r>
      <w:r w:rsidRPr="00C9671E">
        <w:rPr>
          <w:rFonts w:ascii="Times New Roman" w:hAnsi="Times New Roman" w:cs="Times New Roman"/>
          <w:sz w:val="24"/>
        </w:rPr>
        <w:t xml:space="preserve"> </w:t>
      </w:r>
      <w:r w:rsidRPr="00C9671E">
        <w:rPr>
          <w:rFonts w:ascii="Times New Roman" w:hAnsi="Times New Roman" w:cs="Times New Roman"/>
          <w:b/>
          <w:bCs/>
          <w:sz w:val="24"/>
        </w:rPr>
        <w:t>ниво на подготвеност/е умерено подготвена</w:t>
      </w:r>
      <w:r w:rsidRPr="00C9671E">
        <w:rPr>
          <w:rFonts w:ascii="Times New Roman" w:hAnsi="Times New Roman" w:cs="Times New Roman"/>
          <w:sz w:val="24"/>
        </w:rPr>
        <w:t xml:space="preserve"> во областа на</w:t>
      </w:r>
      <w:r w:rsidRPr="00C9671E">
        <w:rPr>
          <w:rFonts w:ascii="Times New Roman" w:hAnsi="Times New Roman" w:cs="Times New Roman"/>
          <w:b/>
          <w:bCs/>
          <w:sz w:val="24"/>
        </w:rPr>
        <w:t xml:space="preserve"> слободата на изразување.</w:t>
      </w:r>
      <w:r w:rsidRPr="00C9671E">
        <w:rPr>
          <w:rFonts w:ascii="Times New Roman" w:hAnsi="Times New Roman" w:cs="Times New Roman"/>
          <w:sz w:val="24"/>
        </w:rPr>
        <w:t xml:space="preserve"> Генерално, постигнат е </w:t>
      </w:r>
      <w:r w:rsidRPr="00C9671E">
        <w:rPr>
          <w:rFonts w:ascii="Times New Roman" w:hAnsi="Times New Roman" w:cs="Times New Roman"/>
          <w:b/>
          <w:bCs/>
          <w:sz w:val="24"/>
        </w:rPr>
        <w:t>ограничен напредок</w:t>
      </w:r>
      <w:r w:rsidRPr="00C9671E">
        <w:rPr>
          <w:rFonts w:ascii="Times New Roman" w:hAnsi="Times New Roman" w:cs="Times New Roman"/>
          <w:sz w:val="24"/>
        </w:rPr>
        <w:t xml:space="preserve"> во извештајниот период. Општиот амбиент е поволен за слобода</w:t>
      </w:r>
      <w:r>
        <w:rPr>
          <w:rFonts w:ascii="Times New Roman" w:hAnsi="Times New Roman" w:cs="Times New Roman"/>
          <w:sz w:val="24"/>
        </w:rPr>
        <w:t>та на медиумите</w:t>
      </w:r>
      <w:r w:rsidRPr="00C9671E">
        <w:rPr>
          <w:rFonts w:ascii="Times New Roman" w:hAnsi="Times New Roman" w:cs="Times New Roman"/>
          <w:sz w:val="24"/>
        </w:rPr>
        <w:t xml:space="preserve"> и овозможува критичко медиумско известување, иако дојде до засилување на тензиите за време на локалните избори во 2021 година. Треба да продолжат напорите за саморегулација</w:t>
      </w:r>
      <w:r>
        <w:rPr>
          <w:rFonts w:ascii="Times New Roman" w:hAnsi="Times New Roman" w:cs="Times New Roman"/>
          <w:sz w:val="24"/>
        </w:rPr>
        <w:t xml:space="preserve"> на медиумите</w:t>
      </w:r>
      <w:r w:rsidRPr="00C9671E">
        <w:rPr>
          <w:rFonts w:ascii="Times New Roman" w:hAnsi="Times New Roman" w:cs="Times New Roman"/>
          <w:sz w:val="24"/>
        </w:rPr>
        <w:t xml:space="preserve"> што би </w:t>
      </w:r>
      <w:r>
        <w:rPr>
          <w:rFonts w:ascii="Times New Roman" w:hAnsi="Times New Roman" w:cs="Times New Roman"/>
          <w:sz w:val="24"/>
        </w:rPr>
        <w:t>довеле</w:t>
      </w:r>
      <w:r w:rsidRPr="00C9671E">
        <w:rPr>
          <w:rFonts w:ascii="Times New Roman" w:hAnsi="Times New Roman" w:cs="Times New Roman"/>
          <w:sz w:val="24"/>
        </w:rPr>
        <w:t xml:space="preserve"> </w:t>
      </w:r>
      <w:r>
        <w:rPr>
          <w:rFonts w:ascii="Times New Roman" w:hAnsi="Times New Roman" w:cs="Times New Roman"/>
          <w:sz w:val="24"/>
        </w:rPr>
        <w:t>до</w:t>
      </w:r>
      <w:r w:rsidRPr="00C9671E">
        <w:rPr>
          <w:rFonts w:ascii="Times New Roman" w:hAnsi="Times New Roman" w:cs="Times New Roman"/>
          <w:sz w:val="24"/>
        </w:rPr>
        <w:t xml:space="preserve"> конкретни резултати во унапредувањето на професионалните новинарски стандарди.</w:t>
      </w:r>
    </w:p>
    <w:p w14:paraId="067FC38E" w14:textId="3285963D"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Треба да се обезбеди поголема транспарентност при рекламирањето на државните институции и политичките партии во медиумите. Органите треба да ги засилат своите напори за реформа на јавниот радиодифузен сервис и да обезбедат негова независност, професионални стандарди и финансиска одржливост. Процесот на реформи на јавниот радиодифузен сервис, во согласност со неговата петгодишна развојна стратегија, е ограничен поради доцнења во </w:t>
      </w:r>
      <w:r>
        <w:rPr>
          <w:rFonts w:ascii="Times New Roman" w:hAnsi="Times New Roman" w:cs="Times New Roman"/>
          <w:sz w:val="24"/>
        </w:rPr>
        <w:t>именувањето</w:t>
      </w:r>
      <w:r w:rsidRPr="00C9671E">
        <w:rPr>
          <w:rFonts w:ascii="Times New Roman" w:hAnsi="Times New Roman" w:cs="Times New Roman"/>
          <w:sz w:val="24"/>
        </w:rPr>
        <w:t xml:space="preserve"> на членовите на неговиот програмски совет. Треба да се именува советот на Агенцијата за аудио и аудиовизуелни медиумски услуги. Работничките права на новинарите сè уште треба да се решат.</w:t>
      </w:r>
    </w:p>
    <w:p w14:paraId="6E7DD07C"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Препораките од минатата година остануваат важечки. Во претстојната година, земјата треба: </w:t>
      </w:r>
    </w:p>
    <w:p w14:paraId="6BB42433" w14:textId="49E1654C" w:rsidR="00A50BBD" w:rsidRPr="00C9671E" w:rsidRDefault="00A50BBD" w:rsidP="00A50BBD">
      <w:pPr>
        <w:numPr>
          <w:ilvl w:val="0"/>
          <w:numId w:val="2"/>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да ја ревидира правната рамката што владее во областа на медиумите во согласност со </w:t>
      </w:r>
      <w:r w:rsidRPr="00C9671E">
        <w:rPr>
          <w:rFonts w:ascii="Times New Roman" w:hAnsi="Times New Roman" w:cs="Times New Roman"/>
          <w:i/>
          <w:sz w:val="24"/>
        </w:rPr>
        <w:t>правото</w:t>
      </w:r>
      <w:r w:rsidRPr="00C9671E">
        <w:rPr>
          <w:rFonts w:ascii="Times New Roman" w:hAnsi="Times New Roman" w:cs="Times New Roman"/>
          <w:sz w:val="24"/>
        </w:rPr>
        <w:t xml:space="preserve"> на ЕУ и европските стандарди, особено со продолжување на напорите за усогласување на националните закони со ревидираната </w:t>
      </w:r>
      <w:r>
        <w:rPr>
          <w:rFonts w:ascii="Times New Roman" w:hAnsi="Times New Roman" w:cs="Times New Roman"/>
          <w:sz w:val="24"/>
        </w:rPr>
        <w:t>е</w:t>
      </w:r>
      <w:r w:rsidRPr="00C9671E">
        <w:rPr>
          <w:rFonts w:ascii="Times New Roman" w:hAnsi="Times New Roman" w:cs="Times New Roman"/>
          <w:sz w:val="24"/>
        </w:rPr>
        <w:t>вропска директива за аудиовизуелни медиумски услуги;</w:t>
      </w:r>
    </w:p>
    <w:p w14:paraId="78DD9BCE" w14:textId="4F139401" w:rsidR="00A50BBD" w:rsidRPr="00C9671E" w:rsidRDefault="00A50BBD" w:rsidP="00A50BBD">
      <w:pPr>
        <w:numPr>
          <w:ilvl w:val="0"/>
          <w:numId w:val="2"/>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да </w:t>
      </w:r>
      <w:r>
        <w:rPr>
          <w:rFonts w:ascii="Times New Roman" w:hAnsi="Times New Roman" w:cs="Times New Roman"/>
          <w:sz w:val="24"/>
        </w:rPr>
        <w:t>ги зголеми напорите</w:t>
      </w:r>
      <w:r w:rsidRPr="00C9671E">
        <w:rPr>
          <w:rFonts w:ascii="Times New Roman" w:hAnsi="Times New Roman" w:cs="Times New Roman"/>
          <w:sz w:val="24"/>
        </w:rPr>
        <w:t xml:space="preserve"> за спроведување на стратегијата за реформи на јавниот радиодифузер и да ги финализира именувањата во програмскиот совет на ј</w:t>
      </w:r>
      <w:r w:rsidR="006E4EB0">
        <w:rPr>
          <w:rFonts w:ascii="Times New Roman" w:hAnsi="Times New Roman" w:cs="Times New Roman"/>
          <w:sz w:val="24"/>
        </w:rPr>
        <w:t>авниот радиодифузен сервис и во</w:t>
      </w:r>
      <w:r w:rsidRPr="00C9671E">
        <w:rPr>
          <w:rFonts w:ascii="Times New Roman" w:hAnsi="Times New Roman" w:cs="Times New Roman"/>
          <w:sz w:val="24"/>
        </w:rPr>
        <w:t xml:space="preserve"> Советот на Агенцијата за аудио и аудиовизуелни медиумски услуги;</w:t>
      </w:r>
    </w:p>
    <w:p w14:paraId="68AF2199" w14:textId="77777777" w:rsidR="00A50BBD" w:rsidRPr="00C9671E" w:rsidRDefault="00A50BBD" w:rsidP="00A50BBD">
      <w:pPr>
        <w:numPr>
          <w:ilvl w:val="0"/>
          <w:numId w:val="2"/>
        </w:num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навремено да ги реши сите случаи на закани и насилни дејства врз новинарите и да се осигури сторителите да бидат казнети.</w:t>
      </w:r>
    </w:p>
    <w:p w14:paraId="21A8DCDA"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Слободата на изразување и плуралистичките гледишта продолжија да напредуваат во генерално поволен севкупен политички контекст. И покрај ова, реформите во медиумите застанаа поради недостаток на политички консензус и промена на фокусот поради пандемијата </w:t>
      </w:r>
      <w:r>
        <w:rPr>
          <w:rFonts w:ascii="Times New Roman" w:hAnsi="Times New Roman" w:cs="Times New Roman"/>
          <w:sz w:val="24"/>
        </w:rPr>
        <w:t xml:space="preserve">на </w:t>
      </w:r>
      <w:r w:rsidRPr="00C9671E">
        <w:rPr>
          <w:rFonts w:ascii="Times New Roman" w:hAnsi="Times New Roman" w:cs="Times New Roman"/>
          <w:sz w:val="24"/>
        </w:rPr>
        <w:t xml:space="preserve">КОВИД-19. И понатаму постојат предизвици во спроведувањето на законската рамка што ја опфаќа работата на медиумите, особено во однос на Законот за аудио и аудиовизуелни медиумски услуги. Иако случаите на физичко и вербално насилство се намалени, има пораст во онлајн заканите кон новинарите и медиумските работници. Условите за работа на медиумските работници и понатаму се отежнати, особено нивните работнички и социјални права. Органите и медиумскиот регулатор ги </w:t>
      </w:r>
      <w:r w:rsidRPr="00C9671E">
        <w:rPr>
          <w:rFonts w:ascii="Times New Roman" w:hAnsi="Times New Roman" w:cs="Times New Roman"/>
          <w:sz w:val="24"/>
        </w:rPr>
        <w:lastRenderedPageBreak/>
        <w:t xml:space="preserve">поддржаа медиумите за време на пандемијата </w:t>
      </w:r>
      <w:r>
        <w:rPr>
          <w:rFonts w:ascii="Times New Roman" w:hAnsi="Times New Roman" w:cs="Times New Roman"/>
          <w:sz w:val="24"/>
        </w:rPr>
        <w:t xml:space="preserve">на </w:t>
      </w:r>
      <w:r w:rsidRPr="00C9671E">
        <w:rPr>
          <w:rFonts w:ascii="Times New Roman" w:hAnsi="Times New Roman" w:cs="Times New Roman"/>
          <w:sz w:val="24"/>
        </w:rPr>
        <w:t>КОВИД-19. Земјата сега треба да подготви стратегија за реформи во медиумите, со поддршка од сите засегнати страни.</w:t>
      </w:r>
    </w:p>
    <w:p w14:paraId="662D4ABE"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u w:val="single"/>
        </w:rPr>
        <w:t>Заплашување на новинарите</w:t>
      </w:r>
    </w:p>
    <w:p w14:paraId="72995A06"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 2021 година, Министерството за внатрешни работи евидентирало осум случаи на напади врз новинари (десет случаи во 2020 година). Во три случаи се поднесени кривични пријави (за кривично дело сторено за време на протест, повреда на авторски и сродни права и закана преку интернет). Истрагата за преостанатите пет напади е во тек. Здружението на новинари евидентирало пет напади, од кои три врз новинарки. За време на локалните избори во 2021 година, се зголеми бројот на инциденти во кои беа вклучени новинари, што беше осудено од Агенцијата за аудио и аудиовизуелни медиумски услуги и Здружението на новинари.</w:t>
      </w:r>
    </w:p>
    <w:p w14:paraId="001F93D1" w14:textId="5608B572"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rPr>
        <w:t xml:space="preserve">Постојната законска рамка и посветеноста на меѓународните стандарди обезбедија доволно механизми за органите за спроведување на законот и Јавното обвинителство да ги казнат сторителите. Потребни се дополнителни активности за да се обезбеди непристрасна, брза и ефективна истрага. Една телевизиска станица се пожали на долготрајни финансиски истраги и дека нејзините новинари биле </w:t>
      </w:r>
      <w:r>
        <w:rPr>
          <w:rFonts w:ascii="Times New Roman" w:hAnsi="Times New Roman" w:cs="Times New Roman"/>
          <w:sz w:val="24"/>
        </w:rPr>
        <w:t>повикани</w:t>
      </w:r>
      <w:r w:rsidRPr="00C9671E">
        <w:rPr>
          <w:rFonts w:ascii="Times New Roman" w:hAnsi="Times New Roman" w:cs="Times New Roman"/>
          <w:sz w:val="24"/>
        </w:rPr>
        <w:t xml:space="preserve"> на информатив</w:t>
      </w:r>
      <w:r>
        <w:rPr>
          <w:rFonts w:ascii="Times New Roman" w:hAnsi="Times New Roman" w:cs="Times New Roman"/>
          <w:sz w:val="24"/>
        </w:rPr>
        <w:t>ен</w:t>
      </w:r>
      <w:r w:rsidRPr="00C9671E">
        <w:rPr>
          <w:rFonts w:ascii="Times New Roman" w:hAnsi="Times New Roman" w:cs="Times New Roman"/>
          <w:sz w:val="24"/>
        </w:rPr>
        <w:t xml:space="preserve"> разговор од Обвинителството. Политичарите од сите нивоа на владеење и јавните функционери треба постојано да даваат пример за високи стандарди за почитување на слободата на медиумите во нивните интеракции со новинарите. Продолжија онлајн </w:t>
      </w:r>
      <w:r>
        <w:rPr>
          <w:rFonts w:ascii="Times New Roman" w:hAnsi="Times New Roman" w:cs="Times New Roman"/>
          <w:sz w:val="24"/>
        </w:rPr>
        <w:t>вознемирувањето</w:t>
      </w:r>
      <w:r w:rsidRPr="00C9671E">
        <w:rPr>
          <w:rFonts w:ascii="Times New Roman" w:hAnsi="Times New Roman" w:cs="Times New Roman"/>
          <w:sz w:val="24"/>
        </w:rPr>
        <w:t xml:space="preserve"> и вербалните напади врз новинарите, особено на социјалните мрежи. Остануваат нерасчистени старите случаи на физички напади врз новинари.</w:t>
      </w:r>
    </w:p>
    <w:p w14:paraId="5676615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u w:val="single"/>
        </w:rPr>
        <w:t>Законодавна средина</w:t>
      </w:r>
    </w:p>
    <w:p w14:paraId="1680103C"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Во 2021 година, органите и медиумскиот регулатор продолжија да ги поддржуваат медиумите за да го ублажат влијанието на пандемијата на КОВИД-19.</w:t>
      </w:r>
    </w:p>
    <w:p w14:paraId="49FB8B5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Процесот на усогласување на Законот за аудио и аудиовизуелни медиумски услуги со </w:t>
      </w:r>
      <w:r w:rsidRPr="00C9671E">
        <w:rPr>
          <w:rFonts w:ascii="Times New Roman" w:hAnsi="Times New Roman" w:cs="Times New Roman"/>
          <w:i/>
          <w:sz w:val="24"/>
        </w:rPr>
        <w:t>правото</w:t>
      </w:r>
      <w:r w:rsidRPr="00C9671E">
        <w:rPr>
          <w:rFonts w:ascii="Times New Roman" w:hAnsi="Times New Roman" w:cs="Times New Roman"/>
          <w:sz w:val="24"/>
        </w:rPr>
        <w:t xml:space="preserve"> на ЕУ треба да продолжи. Во септември 2021 година, Собранието ги донесе измените на Изборниот законик поврзани со медиумите и платеното политичко рекламирање. Извештајот на ОБСЕ/ОДИХР за локалните избори препорача дека треба да се преиспитаат регулативите за платено политичко рекламирање во медиумите, со цел да се овозможи непречен пристап до медиумите врз основа на разумни и објективни критериуми.</w:t>
      </w:r>
    </w:p>
    <w:p w14:paraId="521C5AC5" w14:textId="6B8B836C"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Практиката на обезбедување платено политичко рекламирање во радиодифузни, печатени и онлајн медиуми финансирани од државниот буџет и понатаму </w:t>
      </w:r>
      <w:r>
        <w:rPr>
          <w:rFonts w:ascii="Times New Roman" w:hAnsi="Times New Roman" w:cs="Times New Roman"/>
          <w:sz w:val="24"/>
        </w:rPr>
        <w:t>предизвикува загриженост кај</w:t>
      </w:r>
      <w:r w:rsidRPr="00C9671E">
        <w:rPr>
          <w:rFonts w:ascii="Times New Roman" w:hAnsi="Times New Roman" w:cs="Times New Roman"/>
          <w:sz w:val="24"/>
        </w:rPr>
        <w:t xml:space="preserve"> медиумските здруженија, поради ризикот од политичко влијание врз независноста на медиумите. Погодени од опаѓачкиот медиумски пазар и пандемијата, некои медиуми активно лобираа за укинување на забраната за владино рекламирање во приватните медиуми, со цел да ги зголемат своите приходи. Сепак, медиумските здруженија ја критикуваа можноста за измена на Законот за аудио и аудиовизуелни медиумски услуги, што ќе овозможи рекламирање на јавните институции во медиумите, истакнувајќи го ризикот дека тоа може да ја поткопа независноста на медиумите и да го наруши медиумскиот пазар.</w:t>
      </w:r>
    </w:p>
    <w:p w14:paraId="24D32830" w14:textId="73A56E74" w:rsidR="00A50BBD" w:rsidRPr="00C9671E" w:rsidRDefault="00A50BBD" w:rsidP="006E4EB0">
      <w:pPr>
        <w:spacing w:after="120" w:line="240" w:lineRule="auto"/>
        <w:jc w:val="both"/>
        <w:rPr>
          <w:rFonts w:ascii="Times New Roman" w:hAnsi="Times New Roman" w:cs="Times New Roman"/>
          <w:sz w:val="24"/>
        </w:rPr>
      </w:pPr>
      <w:r w:rsidRPr="00C9671E">
        <w:rPr>
          <w:rFonts w:ascii="Times New Roman" w:hAnsi="Times New Roman" w:cs="Times New Roman"/>
          <w:sz w:val="24"/>
        </w:rPr>
        <w:t>Во март 2022 година, во контекст на дезинформации</w:t>
      </w:r>
      <w:r>
        <w:rPr>
          <w:rFonts w:ascii="Times New Roman" w:hAnsi="Times New Roman" w:cs="Times New Roman"/>
          <w:sz w:val="24"/>
        </w:rPr>
        <w:t>те</w:t>
      </w:r>
      <w:r w:rsidRPr="00C9671E">
        <w:rPr>
          <w:rFonts w:ascii="Times New Roman" w:hAnsi="Times New Roman" w:cs="Times New Roman"/>
          <w:sz w:val="24"/>
        </w:rPr>
        <w:t xml:space="preserve"> во врска со војната во Украина, Владата го забрани реемитувањето на руски ТВ-канали со измена на Законот за рестриктивни мерки врз основа на Регулативата на Советот. Владата продолжи да ги намалува средствата за регулаторот, јавниот радиодифузер и јавното претпријатие за радиодифузија, користејќи ги одредбите од Законот за аудио и аудиовизуелни </w:t>
      </w:r>
      <w:r w:rsidRPr="00C9671E">
        <w:rPr>
          <w:rFonts w:ascii="Times New Roman" w:hAnsi="Times New Roman" w:cs="Times New Roman"/>
          <w:sz w:val="24"/>
        </w:rPr>
        <w:lastRenderedPageBreak/>
        <w:t xml:space="preserve">медиумски услуги. Собранието, исто така, го одложи именувањето на новите членови на програмскиот совет на јавниот радиодифузен сервис и на </w:t>
      </w:r>
      <w:r>
        <w:rPr>
          <w:rFonts w:ascii="Times New Roman" w:hAnsi="Times New Roman" w:cs="Times New Roman"/>
          <w:sz w:val="24"/>
        </w:rPr>
        <w:t>С</w:t>
      </w:r>
      <w:r w:rsidRPr="00C9671E">
        <w:rPr>
          <w:rFonts w:ascii="Times New Roman" w:hAnsi="Times New Roman" w:cs="Times New Roman"/>
          <w:sz w:val="24"/>
        </w:rPr>
        <w:t xml:space="preserve">оветот на </w:t>
      </w:r>
      <w:r>
        <w:rPr>
          <w:rFonts w:ascii="Times New Roman" w:hAnsi="Times New Roman" w:cs="Times New Roman"/>
          <w:sz w:val="24"/>
        </w:rPr>
        <w:t>Агенцијата за аудио и аудио</w:t>
      </w:r>
      <w:r w:rsidRPr="00BF5AA8">
        <w:rPr>
          <w:rFonts w:ascii="Times New Roman" w:hAnsi="Times New Roman" w:cs="Times New Roman"/>
          <w:sz w:val="24"/>
        </w:rPr>
        <w:t>визуелни медиумски услуги</w:t>
      </w:r>
      <w:r w:rsidRPr="00C9671E">
        <w:rPr>
          <w:rFonts w:ascii="Times New Roman" w:hAnsi="Times New Roman" w:cs="Times New Roman"/>
          <w:sz w:val="24"/>
        </w:rPr>
        <w:t>, со што покажа отсуство на политички консензус за реформите во медиумите. Говорот на омраза е забранет и на интернет и надвор од интернет, меѓутоа продолжува да постои на електронските мрежи. Во декември 2021 година, онлајн заканата за новинарите објавена на социјалните медиуми беше санкционирана со судска пресуда.</w:t>
      </w:r>
    </w:p>
    <w:p w14:paraId="53B96D23" w14:textId="77777777" w:rsidR="00A50BBD" w:rsidRPr="00C9671E" w:rsidRDefault="00A50BBD" w:rsidP="006E4EB0">
      <w:pPr>
        <w:spacing w:line="240" w:lineRule="auto"/>
        <w:rPr>
          <w:rFonts w:ascii="Times New Roman" w:hAnsi="Times New Roman" w:cs="Times New Roman"/>
        </w:rPr>
      </w:pPr>
      <w:r w:rsidRPr="00C9671E">
        <w:rPr>
          <w:rFonts w:ascii="Times New Roman" w:hAnsi="Times New Roman" w:cs="Times New Roman"/>
          <w:sz w:val="24"/>
          <w:u w:val="single"/>
        </w:rPr>
        <w:t>Спроведување на законодавството/институции</w:t>
      </w:r>
    </w:p>
    <w:p w14:paraId="0B9CBE4C"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За време на локалните избори во 2021 година, Агенцијата за аудио и аудиовизуелни медиумски услуги го следеше медиумското покривање и не пријави прекршувања на Изборниот законик. Како дел од своите законски обврски, регулаторот ја продолжи својата надзорна улога над радиодифузерите, печатените медиуми, операторите на јавните електронски комуникациски мрежи и давателите на медиумски услуги на барање, како и врз недозволената медиумска концентрација и транспарентност на сопственоста. Регулаторот продолжи да работи со организациите на граѓанското општество и медиумските куќи за промовирање на медиумската писменост и темите за човекови права како што се родовата еднаквост и вклучувањето на лицата со попреченост.</w:t>
      </w:r>
    </w:p>
    <w:p w14:paraId="173D1046"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Финансиската стабилност и независност на медиумскиот регулатор треба да се дополнително засилени по усогласувањето на националното законодавство со Директивата за аудиовизуелни медиумски услуги на ЕУ. Во 2021 година, Советот за етика во медиумите прими 109 поплаки за прекршување на етичките стандарди, од кои 90 % се однесуваа на електронски случаи. Саморегулаторното тело забележа прекршувања на Кодексот на новинарите во 48 случаи. Советот за етика во медиумите извести за зголемен притисок врз неговата работа од политичките и економските актери, но и од претставниците на медиумите. Во 2021 година, Здружението на новинари пријави намалување на судските предмети за навреда и клевета во кои се вклучени новинари, од 30 предмети во 2020 година, на околу 20 тековни предмети. Во 2021 година беше донесена вкупно 81 судска пресуда во врска со член 10 од Европската конвенција за човекови права, наспроти 57 во 2020 година и 99 судски пресуди во 2019 година.</w:t>
      </w:r>
    </w:p>
    <w:p w14:paraId="1CA61CC8"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u w:val="single"/>
        </w:rPr>
        <w:t>Јавен радиодифузен сервис</w:t>
      </w:r>
    </w:p>
    <w:p w14:paraId="2BAAE5D8" w14:textId="5D861941"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Сеопфатната реформа на јавниот радиодифузен сервис дополнително беше одложена. И покрај барањата од Законот за аудио и аудиовизуелни медиумски услуги со кои се утврдува износот на јавното финансирање на јавниот радиодифузен сервис како процент од државниот буџет да е 1 % од 2021 година, вистинската стапка достигна само 0,59 % во јули 2022 година поради употребата од органите на дискреционите овластувања дадени со закон. Ова беше недоволно. Вкупниот буџет на јавниот радиодифузен сервис во 2021 година изнесувал 13,4 милиони евра, додека во 2022 година изнесувал 15 милиони евра. Финансирањето на јавниот радиодифузен сервис бележи постојан пад во последните неколку години. Континуираното намалување на финансирањето го попречува спроведувањето на </w:t>
      </w:r>
      <w:r>
        <w:rPr>
          <w:rFonts w:ascii="Times New Roman" w:hAnsi="Times New Roman" w:cs="Times New Roman"/>
          <w:sz w:val="24"/>
        </w:rPr>
        <w:t>С</w:t>
      </w:r>
      <w:r w:rsidRPr="00C9671E">
        <w:rPr>
          <w:rFonts w:ascii="Times New Roman" w:hAnsi="Times New Roman" w:cs="Times New Roman"/>
          <w:sz w:val="24"/>
        </w:rPr>
        <w:t xml:space="preserve">тратегијата за развој на јавниот радиодифузен сервис, создавајќи несигурност во процесите на планирање и влијае врз севкупниот квалитет на резултатите. Не беа најдени решенија за старите долгови на јавниот радиодифузен сервис кон државните институции, вклучително и за спроведување поволни судски пресуди за просториите на јавниот радиодифузен сервис. </w:t>
      </w:r>
      <w:r>
        <w:rPr>
          <w:rFonts w:ascii="Times New Roman" w:hAnsi="Times New Roman" w:cs="Times New Roman"/>
          <w:sz w:val="24"/>
        </w:rPr>
        <w:t>Допрва треба да се обезбедат н</w:t>
      </w:r>
      <w:r w:rsidRPr="00C9671E">
        <w:rPr>
          <w:rFonts w:ascii="Times New Roman" w:hAnsi="Times New Roman" w:cs="Times New Roman"/>
          <w:sz w:val="24"/>
        </w:rPr>
        <w:t xml:space="preserve">езависност и одржливост на јавниот радиодифузен сервис, </w:t>
      </w:r>
      <w:r>
        <w:rPr>
          <w:rFonts w:ascii="Times New Roman" w:hAnsi="Times New Roman" w:cs="Times New Roman"/>
          <w:sz w:val="24"/>
        </w:rPr>
        <w:t>како</w:t>
      </w:r>
      <w:r w:rsidRPr="00C9671E">
        <w:rPr>
          <w:rFonts w:ascii="Times New Roman" w:hAnsi="Times New Roman" w:cs="Times New Roman"/>
          <w:sz w:val="24"/>
        </w:rPr>
        <w:t xml:space="preserve"> финансиск</w:t>
      </w:r>
      <w:r>
        <w:rPr>
          <w:rFonts w:ascii="Times New Roman" w:hAnsi="Times New Roman" w:cs="Times New Roman"/>
          <w:sz w:val="24"/>
        </w:rPr>
        <w:t xml:space="preserve">а така </w:t>
      </w:r>
      <w:r w:rsidRPr="00C9671E">
        <w:rPr>
          <w:rFonts w:ascii="Times New Roman" w:hAnsi="Times New Roman" w:cs="Times New Roman"/>
          <w:sz w:val="24"/>
        </w:rPr>
        <w:t>и во однос на правната рамка</w:t>
      </w:r>
      <w:r>
        <w:rPr>
          <w:rFonts w:ascii="Times New Roman" w:hAnsi="Times New Roman" w:cs="Times New Roman"/>
          <w:sz w:val="24"/>
        </w:rPr>
        <w:t>.</w:t>
      </w:r>
      <w:r w:rsidRPr="00C9671E">
        <w:rPr>
          <w:rFonts w:ascii="Times New Roman" w:hAnsi="Times New Roman" w:cs="Times New Roman"/>
          <w:sz w:val="24"/>
        </w:rPr>
        <w:t xml:space="preserve"> </w:t>
      </w:r>
    </w:p>
    <w:p w14:paraId="56406A5B"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u w:val="single"/>
        </w:rPr>
        <w:lastRenderedPageBreak/>
        <w:t>Економски фактори</w:t>
      </w:r>
    </w:p>
    <w:p w14:paraId="003D0B91" w14:textId="668C40FF"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Пандемијата на КОВИД-19 имаше негативно влијание врз веќе намалените приходи во медиумската индустрија, што доведе до тоа Владата да донесе мерки за помош на индустријата. </w:t>
      </w:r>
      <w:r>
        <w:rPr>
          <w:rFonts w:ascii="Times New Roman" w:hAnsi="Times New Roman" w:cs="Times New Roman"/>
          <w:sz w:val="24"/>
        </w:rPr>
        <w:t>М</w:t>
      </w:r>
      <w:r w:rsidRPr="00E34C05">
        <w:rPr>
          <w:rFonts w:ascii="Times New Roman" w:hAnsi="Times New Roman" w:cs="Times New Roman"/>
          <w:sz w:val="24"/>
        </w:rPr>
        <w:t>едиумските здруженија</w:t>
      </w:r>
      <w:r>
        <w:rPr>
          <w:rFonts w:ascii="Times New Roman" w:hAnsi="Times New Roman" w:cs="Times New Roman"/>
          <w:sz w:val="24"/>
        </w:rPr>
        <w:t xml:space="preserve"> </w:t>
      </w:r>
      <w:r w:rsidRPr="00E34C05">
        <w:rPr>
          <w:rFonts w:ascii="Times New Roman" w:hAnsi="Times New Roman" w:cs="Times New Roman"/>
          <w:sz w:val="24"/>
        </w:rPr>
        <w:t xml:space="preserve">продолжуваат да ја истакнуваат </w:t>
      </w:r>
      <w:r>
        <w:rPr>
          <w:rFonts w:ascii="Times New Roman" w:hAnsi="Times New Roman" w:cs="Times New Roman"/>
          <w:sz w:val="24"/>
        </w:rPr>
        <w:t>з</w:t>
      </w:r>
      <w:r w:rsidRPr="00C9671E">
        <w:rPr>
          <w:rFonts w:ascii="Times New Roman" w:hAnsi="Times New Roman" w:cs="Times New Roman"/>
          <w:sz w:val="24"/>
        </w:rPr>
        <w:t>агриженоста за медиумскиот интегритет и независност поради несигурната финансиска состојба на медиумските субјекти. Потребни се дополнителни чекори за поддршка на професионалното и истражувачко новинарство. Агенцијата за медиуми редовно ја следи сопственоста на медиумите. Треба да се направат напори за да се заштити независноста на медиумите од политички упади. Рекламирање од страна на Владата на комерцијални канали е забрането. Медиумските здруженија продолжија да ја изразуваат својата загриженост за изгледите за измена на членот 102 од Законот за аудио и аудиовизуелни медиумски услуги за да се дозволат кампањи од јавен интерес финансирани од државата. Медиумските здруженија, исто така, изразија загриженост поради можноста политичките партии да користат државно финансирање за рекламирање во медиумите како потенцијален начин за стекнување политичко влијание врз уредничката политика.</w:t>
      </w:r>
    </w:p>
    <w:p w14:paraId="40F1595F"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Од дваесет издавачи на печатени медиуми, има пет дневни весници, од кои два на албански јазик. Органите продолжија да ги поддржуваат печатените медиуми со доделување 500.000 евра во 2021 година. Агенцијата за аудио и аудиовизуелни услуги објавува регистар на радиодифузни и печатени медиуми, вклучувајќи информации за бројот на вработени и видот на вработувањето.</w:t>
      </w:r>
    </w:p>
    <w:p w14:paraId="05FE64FD"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u w:val="single"/>
        </w:rPr>
        <w:t>Интернет</w:t>
      </w:r>
    </w:p>
    <w:p w14:paraId="0B74E6C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Онлајн медиумите не се регулирани со конкретен закон, а постојат различни ставови за потребата од регулирање, особено во поглед на растечките закани од дезинформации. Онлајн медиумите и платформите на социјалните медиуми се главниот извор на дезинформации, погрешни информации, говор на омраза, прекршување на професионалните стандарди и прекршување на правата на интелектуална сопственост. Потребни се кампањи за да се зајакне разбирањето на засегнатите страни и пошироката јавност и да се зголеми нивната отпорност наспроти дезинформациите. Медиумските здруженија продолжија со промовирање на воспоставениот регистар на онлајн медиуми (promedia.mk) со цел да се зголемат професионалноста и стандардите на онлајн новинарството. Во однос на пристапот до информации, Агенцијата за заштита на правото на слободен пристап до информации од јавен карактер примила 798 поплаки, од кои 608 претежно биле од организации на граѓанското општество, додека 190 поплаки се поднесени од физички лица. </w:t>
      </w:r>
    </w:p>
    <w:p w14:paraId="1EC50701"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rPr>
      </w:pPr>
      <w:bookmarkStart w:id="68" w:name="_Hlk114692009"/>
      <w:r w:rsidRPr="00C9671E">
        <w:rPr>
          <w:rFonts w:ascii="Times New Roman" w:hAnsi="Times New Roman" w:cs="Times New Roman"/>
          <w:sz w:val="24"/>
        </w:rPr>
        <w:t xml:space="preserve">Северна Македонија ја потпиша </w:t>
      </w:r>
      <w:r w:rsidRPr="00C9671E">
        <w:rPr>
          <w:rFonts w:ascii="Times New Roman" w:hAnsi="Times New Roman" w:cs="Times New Roman"/>
          <w:b/>
          <w:bCs/>
          <w:sz w:val="24"/>
        </w:rPr>
        <w:t>Декларацијата за иднината на интернетот</w:t>
      </w:r>
      <w:r w:rsidRPr="00C9671E">
        <w:rPr>
          <w:rFonts w:ascii="Times New Roman" w:hAnsi="Times New Roman" w:cs="Times New Roman"/>
          <w:sz w:val="24"/>
        </w:rPr>
        <w:t xml:space="preserve"> од 28 април 2022 година</w:t>
      </w:r>
      <w:r w:rsidRPr="00C9671E">
        <w:rPr>
          <w:rFonts w:ascii="Times New Roman" w:eastAsia="Calibri" w:hAnsi="Times New Roman" w:cs="Times New Roman"/>
          <w:sz w:val="24"/>
          <w:szCs w:val="24"/>
          <w:vertAlign w:val="superscript"/>
        </w:rPr>
        <w:footnoteReference w:id="8"/>
      </w:r>
      <w:r w:rsidRPr="00C9671E">
        <w:rPr>
          <w:rFonts w:ascii="Times New Roman" w:hAnsi="Times New Roman" w:cs="Times New Roman"/>
          <w:sz w:val="24"/>
        </w:rPr>
        <w:t>. Досега, потпишана од повеќе од 60 меѓународни партнери, Декларацијата ги утврдува визијата и начелата на веродостоен интернет.</w:t>
      </w:r>
      <w:bookmarkEnd w:id="68"/>
    </w:p>
    <w:p w14:paraId="07AA6E22"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u w:val="single"/>
        </w:rPr>
        <w:t>Професионални организации и услови за работа</w:t>
      </w:r>
    </w:p>
    <w:p w14:paraId="304FCDBE"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Работничките и социјалните права на новинарите ги застапува Самостојниот синдикат на новинари и медиумски работници. Новинарите што работат за јавниот радиодифузен сервис и за новинските информативни агенции се организирани во посебни синдикати. Дијалогот на синдикатите со Владата треба да се подобри, со цел да се изнајдат прифатливи решенија за постојаните предизвици, како што е големиот број краткорочни договори или договори на скратено работно време без здравствено и </w:t>
      </w:r>
      <w:r w:rsidRPr="00C9671E">
        <w:rPr>
          <w:rFonts w:ascii="Times New Roman" w:hAnsi="Times New Roman" w:cs="Times New Roman"/>
          <w:sz w:val="24"/>
        </w:rPr>
        <w:lastRenderedPageBreak/>
        <w:t xml:space="preserve">социјално осигурување. Приходите на повеќето медиумски работници се пониски од просечната државна плата. Работничките права, како што се правото на годишен одмор, платени прекувремени часови и платени ноќни смени, често се занемаруваат. </w:t>
      </w:r>
    </w:p>
    <w:p w14:paraId="0094BF21"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На многубројни медиуми им недостасува интерен етички кодекс, како и професионални и кариерни можности за професионална обука. Многу новинари имаат несигурен договорен статус и тешки социо-економски услови, што придонесува за култура на самоцензура и создава можности за сопствениците на медиумите силно да влијаат на уредничката политика. Потребни се дополнителни напори за заштита на професионалните и работничките права, слободите и безбедноста на новинарите.</w:t>
      </w:r>
    </w:p>
    <w:p w14:paraId="657504F1"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Во 2021 година, вкупниот број вработени во радиодифузните медиуми беше 2.449, од кои 1.814 со полно работно време и 635 вработени со скратено работно време. Нема сеопфатни податоци за вкупниот број новинари поради фактот што онлајн медиумите во моментов не се покриени. Потребни се дополнителни мерки за промовирање на родовата еднаквост во медиумската индустрија.</w:t>
      </w:r>
    </w:p>
    <w:p w14:paraId="554B74FB"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w:t>
      </w:r>
      <w:r w:rsidRPr="00C9671E">
        <w:rPr>
          <w:rFonts w:ascii="Times New Roman" w:hAnsi="Times New Roman" w:cs="Times New Roman"/>
          <w:i/>
          <w:iCs/>
          <w:sz w:val="24"/>
        </w:rPr>
        <w:t>Види исто така Поглавје 10 – Дигитална трансформација и медиуми</w:t>
      </w:r>
      <w:r w:rsidRPr="00C9671E">
        <w:rPr>
          <w:rFonts w:ascii="Times New Roman" w:hAnsi="Times New Roman" w:cs="Times New Roman"/>
          <w:sz w:val="24"/>
        </w:rPr>
        <w:t>)</w:t>
      </w:r>
    </w:p>
    <w:p w14:paraId="4AD3A7E9"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w:t>
      </w:r>
    </w:p>
    <w:p w14:paraId="34DD709C"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Правото на </w:t>
      </w:r>
      <w:r w:rsidRPr="00C9671E">
        <w:rPr>
          <w:rFonts w:ascii="Times New Roman" w:hAnsi="Times New Roman" w:cs="Times New Roman"/>
          <w:b/>
          <w:bCs/>
          <w:sz w:val="24"/>
        </w:rPr>
        <w:t xml:space="preserve">слобода на собирање и здружување </w:t>
      </w:r>
      <w:r w:rsidRPr="00C9671E">
        <w:rPr>
          <w:rFonts w:ascii="Times New Roman" w:hAnsi="Times New Roman" w:cs="Times New Roman"/>
          <w:sz w:val="24"/>
        </w:rPr>
        <w:t xml:space="preserve">е загарантирано со Уставот и Владата го почитува Законот за здруженија на граѓани и фондации, кој останува непроменет. Потребни се поголеми напори за спроведување на сите пресуди на Европскиот суд за човекови права во однос на регистрирањето здруженија. Законодавството е усогласено со Повелбата за фундаменталните права на ЕУ и Европската конвенција за човекови права. Во различни периоди за време на пандемијата на КОВИД-19 беа воспоставени ограничувања на правата за собирање. И покрај кратките периоди на ограничувања, неколку законски собири и здружувања се одржаа без пречки, почитувајќи ги постојните здравствени и безбедносни протоколи поради пандемијата. Сепак, се случија инциденти во септември 2021 година кога стотици демонстранти се собраа во Тетово откако се запали модуларната ковид-болница, при што беа приведени пет лица. </w:t>
      </w:r>
    </w:p>
    <w:p w14:paraId="2E35D7C8"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Во јули 2022 година се одржаа неколку протести против предлозите дадени со цел да се отстранат пречките за отворање на пристапните преговори со ЕУ. На протестите учествуваа помеѓу 7.000 и 15.000 демонстранти, кои во некои наврати прераснаа во судири помеѓу демонстрантите и полицијата.</w:t>
      </w:r>
    </w:p>
    <w:p w14:paraId="62A3D597" w14:textId="2DA65460"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Именувањето на Бугарскиот културен центар отворен во Битола во април 2022 година предизвика длабока загриженост кај граѓаните. Јавните функционери во Северна Македонија најостро го осудија инцидентот од јуни 2022 година, кога имаше обид за палење на просториите на Културниот центар. Државните власти го истражија случајот и Судот го осуди </w:t>
      </w:r>
      <w:r>
        <w:rPr>
          <w:rFonts w:ascii="Times New Roman" w:hAnsi="Times New Roman" w:cs="Times New Roman"/>
          <w:sz w:val="24"/>
        </w:rPr>
        <w:t>сторителот</w:t>
      </w:r>
      <w:r w:rsidRPr="00C9671E">
        <w:rPr>
          <w:rFonts w:ascii="Times New Roman" w:hAnsi="Times New Roman" w:cs="Times New Roman"/>
          <w:sz w:val="24"/>
        </w:rPr>
        <w:t xml:space="preserve"> на условна затворска казна.</w:t>
      </w:r>
    </w:p>
    <w:p w14:paraId="4245FC10" w14:textId="77777777" w:rsidR="00A50BBD" w:rsidRPr="00C9671E" w:rsidRDefault="00A50BBD" w:rsidP="006E4EB0">
      <w:pPr>
        <w:spacing w:after="120" w:line="240" w:lineRule="auto"/>
        <w:jc w:val="both"/>
        <w:rPr>
          <w:rFonts w:ascii="Times New Roman" w:eastAsia="Times New Roman" w:hAnsi="Times New Roman" w:cs="Times New Roman"/>
          <w:noProof/>
          <w:sz w:val="24"/>
          <w:szCs w:val="24"/>
        </w:rPr>
      </w:pPr>
      <w:r w:rsidRPr="00C9671E">
        <w:rPr>
          <w:rFonts w:ascii="Times New Roman" w:hAnsi="Times New Roman" w:cs="Times New Roman"/>
          <w:sz w:val="24"/>
        </w:rPr>
        <w:t xml:space="preserve">Прашањата во областа на </w:t>
      </w:r>
      <w:r w:rsidRPr="00C9671E">
        <w:rPr>
          <w:rFonts w:ascii="Times New Roman" w:hAnsi="Times New Roman" w:cs="Times New Roman"/>
          <w:b/>
          <w:bCs/>
          <w:sz w:val="24"/>
        </w:rPr>
        <w:t>работничките права и правата на синдикално организирање</w:t>
      </w:r>
      <w:r w:rsidRPr="00C9671E">
        <w:rPr>
          <w:rFonts w:ascii="Times New Roman" w:hAnsi="Times New Roman" w:cs="Times New Roman"/>
          <w:sz w:val="24"/>
        </w:rPr>
        <w:t xml:space="preserve"> се опфатени во </w:t>
      </w:r>
      <w:r w:rsidRPr="00C9671E">
        <w:rPr>
          <w:rFonts w:ascii="Times New Roman" w:hAnsi="Times New Roman" w:cs="Times New Roman"/>
          <w:i/>
          <w:iCs/>
          <w:sz w:val="24"/>
        </w:rPr>
        <w:t>Поглавје 19 – Социјална политика и вработување.</w:t>
      </w:r>
    </w:p>
    <w:p w14:paraId="11E3D578"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Северна Македонија не направи значителни подобрувања во постапките за остварување на </w:t>
      </w:r>
      <w:r w:rsidRPr="00C9671E">
        <w:rPr>
          <w:rFonts w:ascii="Times New Roman" w:hAnsi="Times New Roman" w:cs="Times New Roman"/>
          <w:b/>
          <w:bCs/>
          <w:sz w:val="24"/>
        </w:rPr>
        <w:t>правото на сопственост</w:t>
      </w:r>
      <w:r w:rsidRPr="00C9671E">
        <w:rPr>
          <w:rFonts w:ascii="Times New Roman" w:hAnsi="Times New Roman" w:cs="Times New Roman"/>
          <w:sz w:val="24"/>
        </w:rPr>
        <w:t xml:space="preserve">, кои и понатаму се долги и скапи за граѓаните, поради недостиг на централна институција и недостиг на координација меѓу институциите што се занимаваат со овие права. И покрај најавите, администрацијата сè уште нема развиено национална стратегија за правата на сопственост. Имотните регистри не се ажурираат редовно и сè уште се чуваат во аналогна форма, особено на општинско ниво. Агенцијата за катастар одржува задоволувачка стапка од над 90 % решени предмети. Регистрацијата на земјиште и имот е завршена, а ласерско скенирање е спроведено во </w:t>
      </w:r>
      <w:r w:rsidRPr="00C9671E">
        <w:rPr>
          <w:rFonts w:ascii="Times New Roman" w:hAnsi="Times New Roman" w:cs="Times New Roman"/>
          <w:sz w:val="24"/>
        </w:rPr>
        <w:lastRenderedPageBreak/>
        <w:t>целата земја. Администрациите што управуваат со процесите за враќање, надомест и легализација и понатаму имаат тешкотии во справувањето со огромниот број предмети, главно поради недоволно кадар и средства. Над 6.000 предмети за денационализација сè уште се отворени и претставуваат најголем дел од поплаките упатени до Канцеларијата на Народниот правобранител, иако овој процес беше официјално прогласен за затворен во 2013 година.</w:t>
      </w:r>
    </w:p>
    <w:p w14:paraId="6C812665" w14:textId="60FFA344" w:rsidR="00A50BBD" w:rsidRPr="00C9671E" w:rsidRDefault="00A50BBD" w:rsidP="006E4EB0">
      <w:pPr>
        <w:autoSpaceDE w:val="0"/>
        <w:autoSpaceDN w:val="0"/>
        <w:adjustRightInd w:val="0"/>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Во однос на </w:t>
      </w:r>
      <w:r w:rsidRPr="00C9671E">
        <w:rPr>
          <w:rFonts w:ascii="Times New Roman" w:hAnsi="Times New Roman" w:cs="Times New Roman"/>
          <w:b/>
          <w:bCs/>
          <w:sz w:val="24"/>
        </w:rPr>
        <w:t>недискриминацијата</w:t>
      </w:r>
      <w:r w:rsidRPr="00C9671E">
        <w:rPr>
          <w:rFonts w:ascii="Times New Roman" w:hAnsi="Times New Roman" w:cs="Times New Roman"/>
          <w:sz w:val="24"/>
        </w:rPr>
        <w:t xml:space="preserve">, многубројните логистички и финансиски предизвици продолжија да ја попречуваат работата на телото за еднаквост – Комисијата за спречување и заштита од дискриминација. Владата повторно го скрати годишниот буџет на оваа Комисија и не е завршено регрутирањето административен кадар. Овие прашања влијаат на спроведувањето на Законот за спречување и заштита од дискриминација и треба итно да се решат. Имаше критики во врска со недоволната независност на Комисијата во однос на буџетските расходи поради недоследности во Законот. Собранието не успеа да пополни празно место во Комисијата. Комесарите и граѓанското општество, исто така, ја критикуваа недоволната разноличност во новата </w:t>
      </w:r>
      <w:r>
        <w:rPr>
          <w:rFonts w:ascii="Times New Roman" w:hAnsi="Times New Roman" w:cs="Times New Roman"/>
          <w:sz w:val="24"/>
        </w:rPr>
        <w:t>к</w:t>
      </w:r>
      <w:r w:rsidRPr="00C9671E">
        <w:rPr>
          <w:rFonts w:ascii="Times New Roman" w:hAnsi="Times New Roman" w:cs="Times New Roman"/>
          <w:sz w:val="24"/>
        </w:rPr>
        <w:t>омисија, особено во однос на полот и лицата со попреченост.</w:t>
      </w:r>
    </w:p>
    <w:p w14:paraId="31AAEDAC" w14:textId="7B7F990A" w:rsidR="00A50BBD" w:rsidRPr="00C9671E" w:rsidRDefault="00A50BBD" w:rsidP="006E4EB0">
      <w:pPr>
        <w:autoSpaceDE w:val="0"/>
        <w:autoSpaceDN w:val="0"/>
        <w:adjustRightInd w:val="0"/>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И покрај постојните предизвици, во 2021 година, Комисијата ги донесе своите внатрешни акти и стратегиски документи и работеше на 167 поплаки. Ја потврди дискриминацијата во 60 % од предметите покренати против јавниот сектор. Врз основа на широките овластувања, вклучително и овластувањата по службена должност, Комисијата постапи како </w:t>
      </w:r>
      <w:r w:rsidRPr="00705B41">
        <w:rPr>
          <w:rFonts w:ascii="Times New Roman" w:hAnsi="Times New Roman" w:cs="Times New Roman"/>
          <w:i/>
          <w:iCs/>
          <w:sz w:val="24"/>
        </w:rPr>
        <w:t>amicus curiae</w:t>
      </w:r>
      <w:r>
        <w:rPr>
          <w:rFonts w:ascii="Times New Roman" w:hAnsi="Times New Roman" w:cs="Times New Roman"/>
          <w:i/>
          <w:iCs/>
          <w:sz w:val="24"/>
        </w:rPr>
        <w:t xml:space="preserve"> </w:t>
      </w:r>
      <w:r w:rsidRPr="00C9671E">
        <w:rPr>
          <w:rFonts w:ascii="Times New Roman" w:hAnsi="Times New Roman" w:cs="Times New Roman"/>
          <w:sz w:val="24"/>
        </w:rPr>
        <w:t xml:space="preserve">во две судски постапки и поднесе две барања за поведување прекршочна постапка. Комисијата предложи подобрување на Законот за спречување и заштита од дискриминација. Донесена е нова Стратегија за еднаквост и недискриминација 2021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2026. Не се именувани новите членови на Националното координативно тело за еднаквост и недискриминација, што ја оневозможува институцијата да функционира со полн потенцијал. Канцеларијата на Народниот правобранител прими 43 поплаки за дискриминација (62 во 2020 година), од кои повеќето се од сферата на работните односи, и даде 23 мислења. При собирањето статистички податоци по области и основи на дискриминација, Народниот правобранител го следеше Законот за спречување и заштита од дискриминација. </w:t>
      </w:r>
      <w:r>
        <w:rPr>
          <w:rFonts w:ascii="Times New Roman" w:hAnsi="Times New Roman" w:cs="Times New Roman"/>
          <w:sz w:val="24"/>
        </w:rPr>
        <w:t>Одделот</w:t>
      </w:r>
      <w:r w:rsidRPr="00C9671E">
        <w:rPr>
          <w:rFonts w:ascii="Times New Roman" w:hAnsi="Times New Roman" w:cs="Times New Roman"/>
          <w:sz w:val="24"/>
        </w:rPr>
        <w:t xml:space="preserve"> за заштита</w:t>
      </w:r>
      <w:r>
        <w:rPr>
          <w:rFonts w:ascii="Times New Roman" w:hAnsi="Times New Roman" w:cs="Times New Roman"/>
          <w:sz w:val="24"/>
        </w:rPr>
        <w:t xml:space="preserve"> од дискриминација</w:t>
      </w:r>
      <w:r w:rsidRPr="00C9671E">
        <w:rPr>
          <w:rFonts w:ascii="Times New Roman" w:hAnsi="Times New Roman" w:cs="Times New Roman"/>
          <w:sz w:val="24"/>
        </w:rPr>
        <w:t xml:space="preserve"> на Народниот правобранител и понатаму има недоволно вработени. Канцеларијата на Народниот правобранител и Комисијата за спречување и заштита од дискриминација сè уште треба да воспостават редовна и ефикасна координација со цел да се осигури дека начелото на недискриминација е соодветно применето.</w:t>
      </w:r>
    </w:p>
    <w:p w14:paraId="056CB86E"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Министерството за внатрешни работи управува со веб-страница преку која граѓаните може да пријавуваат злосторства од омраза, говор на омраза и други форми на насилство, но последователните активности не се целосно транспарентни. Треба да постои систематска практика на собирање податоци за говорот на омраза. Потребен е попроактивен и холистички пристап во решавањето на случаите со говор на омраза и злосторство од омраза.</w:t>
      </w:r>
    </w:p>
    <w:p w14:paraId="36EBF861" w14:textId="3F0A87F3" w:rsidR="00A50BBD" w:rsidRPr="00C9671E" w:rsidRDefault="00A50BBD" w:rsidP="006E4EB0">
      <w:pPr>
        <w:autoSpaceDE w:val="0"/>
        <w:autoSpaceDN w:val="0"/>
        <w:adjustRightInd w:val="0"/>
        <w:spacing w:after="120" w:line="240" w:lineRule="auto"/>
        <w:jc w:val="both"/>
        <w:rPr>
          <w:rFonts w:ascii="Times New Roman" w:hAnsi="Times New Roman" w:cs="Times New Roman"/>
          <w:bCs/>
          <w:noProof/>
          <w:sz w:val="24"/>
          <w:szCs w:val="24"/>
        </w:rPr>
      </w:pPr>
      <w:r w:rsidRPr="00C9671E">
        <w:rPr>
          <w:rFonts w:ascii="Times New Roman" w:hAnsi="Times New Roman" w:cs="Times New Roman"/>
          <w:color w:val="000000"/>
          <w:sz w:val="24"/>
        </w:rPr>
        <w:t xml:space="preserve">Постигнат е одреден напредок во однос на </w:t>
      </w:r>
      <w:r w:rsidRPr="00C9671E">
        <w:rPr>
          <w:rFonts w:ascii="Times New Roman" w:hAnsi="Times New Roman" w:cs="Times New Roman"/>
          <w:b/>
          <w:bCs/>
          <w:color w:val="000000"/>
          <w:sz w:val="24"/>
        </w:rPr>
        <w:t>родовата еднаквост</w:t>
      </w:r>
      <w:r w:rsidRPr="00C9671E">
        <w:rPr>
          <w:rFonts w:ascii="Times New Roman" w:hAnsi="Times New Roman" w:cs="Times New Roman"/>
          <w:color w:val="000000"/>
          <w:sz w:val="24"/>
        </w:rPr>
        <w:t xml:space="preserve"> преку развивање нормативна рамка за усогласување со Истанбулската конвенција и рамка за политика за интегрирање на родовите перспективи и усогласување на националното право со </w:t>
      </w:r>
      <w:r w:rsidRPr="00C9671E">
        <w:rPr>
          <w:rFonts w:ascii="Times New Roman" w:hAnsi="Times New Roman" w:cs="Times New Roman"/>
          <w:i/>
          <w:color w:val="000000"/>
          <w:sz w:val="24"/>
        </w:rPr>
        <w:t>правото</w:t>
      </w:r>
      <w:r w:rsidRPr="00C9671E">
        <w:rPr>
          <w:rFonts w:ascii="Times New Roman" w:hAnsi="Times New Roman" w:cs="Times New Roman"/>
          <w:color w:val="000000"/>
          <w:sz w:val="24"/>
        </w:rPr>
        <w:t xml:space="preserve"> на ЕУ за родова еднаквост. Со донесувањето на Националната стратегија за родова еднаквост 2021 </w:t>
      </w:r>
      <w:r w:rsidRPr="00C9671E">
        <w:rPr>
          <w:rFonts w:ascii="Times New Roman" w:hAnsi="Times New Roman" w:cs="Times New Roman"/>
          <w:i/>
          <w:iCs/>
          <w:sz w:val="24"/>
        </w:rPr>
        <w:t xml:space="preserve">– </w:t>
      </w:r>
      <w:r w:rsidRPr="00C9671E">
        <w:rPr>
          <w:rFonts w:ascii="Times New Roman" w:hAnsi="Times New Roman" w:cs="Times New Roman"/>
          <w:color w:val="000000"/>
          <w:sz w:val="24"/>
        </w:rPr>
        <w:t xml:space="preserve">2026, во јули 2022 година, постигнат е добар напредок кон воспоставување ефективен систем за вклучување на родовите аспекти во главните политики. </w:t>
      </w:r>
      <w:r>
        <w:rPr>
          <w:rFonts w:ascii="Times New Roman" w:hAnsi="Times New Roman" w:cs="Times New Roman"/>
          <w:color w:val="000000"/>
          <w:sz w:val="24"/>
        </w:rPr>
        <w:t xml:space="preserve">Меѓутоа, </w:t>
      </w:r>
      <w:r w:rsidRPr="000E47F0">
        <w:rPr>
          <w:rFonts w:ascii="Times New Roman" w:hAnsi="Times New Roman" w:cs="Times New Roman"/>
          <w:color w:val="000000"/>
          <w:sz w:val="24"/>
        </w:rPr>
        <w:t>сè уште се чека</w:t>
      </w:r>
      <w:r w:rsidRPr="000E47F0" w:rsidDel="000E47F0">
        <w:rPr>
          <w:rFonts w:ascii="Times New Roman" w:hAnsi="Times New Roman" w:cs="Times New Roman"/>
          <w:color w:val="000000"/>
          <w:sz w:val="24"/>
        </w:rPr>
        <w:t xml:space="preserve"> </w:t>
      </w:r>
      <w:r w:rsidRPr="00C9671E">
        <w:rPr>
          <w:rFonts w:ascii="Times New Roman" w:hAnsi="Times New Roman" w:cs="Times New Roman"/>
          <w:color w:val="000000"/>
          <w:sz w:val="24"/>
        </w:rPr>
        <w:t xml:space="preserve">донесувањето на предлог-законот за родова еднаквост. Потребно е зајакнување на меѓуинституционалните механизми креирани за </w:t>
      </w:r>
      <w:r w:rsidRPr="00C9671E">
        <w:rPr>
          <w:rFonts w:ascii="Times New Roman" w:hAnsi="Times New Roman" w:cs="Times New Roman"/>
          <w:color w:val="000000"/>
          <w:sz w:val="24"/>
        </w:rPr>
        <w:lastRenderedPageBreak/>
        <w:t>спроведување и следење на политиките за промовирање на родовата еднаквост, особено преку подобрување на организациските решенија, зајакнување на техничкиот капацитет, буџет и професионалци обучени според меѓународните стандарди.</w:t>
      </w:r>
    </w:p>
    <w:p w14:paraId="15A45F5B" w14:textId="120E4468" w:rsidR="00A50BBD" w:rsidRPr="00C9671E" w:rsidRDefault="00A50BBD" w:rsidP="006E4EB0">
      <w:pPr>
        <w:autoSpaceDE w:val="0"/>
        <w:autoSpaceDN w:val="0"/>
        <w:adjustRightInd w:val="0"/>
        <w:spacing w:after="120" w:line="240" w:lineRule="auto"/>
        <w:jc w:val="both"/>
        <w:rPr>
          <w:rFonts w:ascii="Times New Roman" w:hAnsi="Times New Roman" w:cs="Times New Roman"/>
          <w:noProof/>
          <w:color w:val="000000"/>
          <w:sz w:val="24"/>
          <w:szCs w:val="24"/>
        </w:rPr>
      </w:pPr>
      <w:r w:rsidRPr="00C9671E">
        <w:rPr>
          <w:rFonts w:ascii="Times New Roman" w:hAnsi="Times New Roman" w:cs="Times New Roman"/>
          <w:color w:val="000000"/>
          <w:sz w:val="24"/>
        </w:rPr>
        <w:t xml:space="preserve">Понатамошното усогласување со одредбите од Истанбулската конвенција за спречување и борба против насилството врз жените и семејното насилство и понатаму е предизвик. Се чека акција за усогласување на поврзаните закони и донесување законодавство за спроведување на Законот за спречување и заштита од насилство врз жените и семејно насилство. Во април 2022 година, Северна Македонија го поднесе својот прв </w:t>
      </w:r>
      <w:r>
        <w:rPr>
          <w:rFonts w:ascii="Times New Roman" w:hAnsi="Times New Roman" w:cs="Times New Roman"/>
          <w:color w:val="000000"/>
          <w:sz w:val="24"/>
        </w:rPr>
        <w:t>и</w:t>
      </w:r>
      <w:r w:rsidRPr="00C9671E">
        <w:rPr>
          <w:rFonts w:ascii="Times New Roman" w:hAnsi="Times New Roman" w:cs="Times New Roman"/>
          <w:color w:val="000000"/>
          <w:sz w:val="24"/>
        </w:rPr>
        <w:t>звештај до Групата експерти за акција против насилството врз жените и семејното насилство (ГРЕВИО).</w:t>
      </w:r>
    </w:p>
    <w:p w14:paraId="5DEAEFC9" w14:textId="2EBFAA6D" w:rsidR="00A50BBD" w:rsidRPr="00C9671E" w:rsidRDefault="00A50BBD" w:rsidP="006E4EB0">
      <w:pPr>
        <w:autoSpaceDE w:val="0"/>
        <w:autoSpaceDN w:val="0"/>
        <w:adjustRightInd w:val="0"/>
        <w:spacing w:after="120" w:line="240" w:lineRule="auto"/>
        <w:jc w:val="both"/>
        <w:rPr>
          <w:rFonts w:ascii="Times New Roman" w:hAnsi="Times New Roman" w:cs="Times New Roman"/>
          <w:noProof/>
          <w:color w:val="000000"/>
          <w:sz w:val="24"/>
          <w:szCs w:val="24"/>
        </w:rPr>
      </w:pPr>
      <w:r w:rsidRPr="00C9671E">
        <w:rPr>
          <w:rFonts w:ascii="Times New Roman" w:hAnsi="Times New Roman" w:cs="Times New Roman"/>
          <w:color w:val="000000"/>
          <w:sz w:val="24"/>
        </w:rPr>
        <w:t xml:space="preserve">Министерството за правда сè уште треба да го </w:t>
      </w:r>
      <w:r>
        <w:rPr>
          <w:rFonts w:ascii="Times New Roman" w:hAnsi="Times New Roman" w:cs="Times New Roman"/>
          <w:color w:val="000000"/>
          <w:sz w:val="24"/>
        </w:rPr>
        <w:t>измени</w:t>
      </w:r>
      <w:r w:rsidRPr="00C9671E">
        <w:rPr>
          <w:rFonts w:ascii="Times New Roman" w:hAnsi="Times New Roman" w:cs="Times New Roman"/>
          <w:color w:val="000000"/>
          <w:sz w:val="24"/>
        </w:rPr>
        <w:t xml:space="preserve"> Кривичниот законик со цел да обезбеди целосна заштита на жртвите од сите форми на насилство, вклучително и фемицид. </w:t>
      </w:r>
      <w:r w:rsidRPr="00C9671E">
        <w:rPr>
          <w:rFonts w:ascii="Times New Roman" w:hAnsi="Times New Roman" w:cs="Times New Roman"/>
          <w:sz w:val="24"/>
        </w:rPr>
        <w:t xml:space="preserve">Службите за жртвите на родово </w:t>
      </w:r>
      <w:r>
        <w:rPr>
          <w:rFonts w:ascii="Times New Roman" w:hAnsi="Times New Roman" w:cs="Times New Roman"/>
          <w:sz w:val="24"/>
        </w:rPr>
        <w:t>базирано</w:t>
      </w:r>
      <w:r w:rsidRPr="00C9671E">
        <w:rPr>
          <w:rFonts w:ascii="Times New Roman" w:hAnsi="Times New Roman" w:cs="Times New Roman"/>
          <w:sz w:val="24"/>
        </w:rPr>
        <w:t xml:space="preserve"> насилство треба да се прошират и потребен е соодветен буџет за да се исполнат стандардите на Истанбулската конвенција, вклучително и пристап за жените со </w:t>
      </w:r>
      <w:r>
        <w:rPr>
          <w:rFonts w:ascii="Times New Roman" w:hAnsi="Times New Roman" w:cs="Times New Roman"/>
          <w:sz w:val="24"/>
        </w:rPr>
        <w:t>попреченост</w:t>
      </w:r>
      <w:r w:rsidRPr="00C9671E">
        <w:rPr>
          <w:rFonts w:ascii="Times New Roman" w:hAnsi="Times New Roman" w:cs="Times New Roman"/>
          <w:sz w:val="24"/>
        </w:rPr>
        <w:t xml:space="preserve"> и почитување различни културни, етнички и верски фактори при пријавување насилство. На земјата ѝ недостасуваат јасни меѓуинституционални протоколи, а полицијата и здравствените работници немаат капацитет целосно да ги проценат последиците од насилството и да преземат соодветни мерки. </w:t>
      </w:r>
      <w:r w:rsidRPr="00C9671E">
        <w:rPr>
          <w:rFonts w:ascii="Times New Roman" w:hAnsi="Times New Roman" w:cs="Times New Roman"/>
          <w:color w:val="000000"/>
          <w:sz w:val="24"/>
        </w:rPr>
        <w:t xml:space="preserve">Државниот буџет ги поддржува само постојните пет оперативни засолништа, еден кризен центар и три центра за жртви на сексуално насилство. </w:t>
      </w:r>
      <w:r w:rsidRPr="00C9671E">
        <w:rPr>
          <w:rFonts w:ascii="Times New Roman" w:hAnsi="Times New Roman" w:cs="Times New Roman"/>
          <w:sz w:val="24"/>
        </w:rPr>
        <w:t>Обезбедувањето психосоцијални и други превентивни услуги останува некоординирано и завис</w:t>
      </w:r>
      <w:r>
        <w:rPr>
          <w:rFonts w:ascii="Times New Roman" w:hAnsi="Times New Roman" w:cs="Times New Roman"/>
          <w:sz w:val="24"/>
        </w:rPr>
        <w:t>и</w:t>
      </w:r>
      <w:r w:rsidRPr="00C9671E">
        <w:rPr>
          <w:rFonts w:ascii="Times New Roman" w:hAnsi="Times New Roman" w:cs="Times New Roman"/>
          <w:sz w:val="24"/>
        </w:rPr>
        <w:t xml:space="preserve"> од финансирање од локалната самоуправа, странски донатори и бизнис-заедницата. Само во главниот град постои специјализиран тим за итна заштита на ранливите групи што работи нонстоп. Поради преоптоварениот здравствен систем за време на пандемијата, недостатокот на соодветно обучен кадар и ограничениот број сместувачки капацитети, жртвите на родово и семејно насилство се соочија со сериозни предизвици во пристапот до здравствени услуги.</w:t>
      </w:r>
    </w:p>
    <w:p w14:paraId="18FDE809" w14:textId="2EC554DD" w:rsidR="00A50BBD" w:rsidRPr="00C9671E" w:rsidRDefault="00A50BBD" w:rsidP="006E4EB0">
      <w:pPr>
        <w:autoSpaceDE w:val="0"/>
        <w:autoSpaceDN w:val="0"/>
        <w:adjustRightInd w:val="0"/>
        <w:spacing w:after="120" w:line="240" w:lineRule="auto"/>
        <w:jc w:val="both"/>
        <w:rPr>
          <w:rFonts w:ascii="Times New Roman" w:eastAsia="Times New Roman" w:hAnsi="Times New Roman" w:cs="Times New Roman"/>
          <w:noProof/>
          <w:color w:val="000000"/>
          <w:sz w:val="24"/>
          <w:szCs w:val="24"/>
        </w:rPr>
      </w:pPr>
      <w:r w:rsidRPr="00C9671E">
        <w:rPr>
          <w:rFonts w:ascii="Times New Roman" w:hAnsi="Times New Roman" w:cs="Times New Roman"/>
          <w:sz w:val="24"/>
        </w:rPr>
        <w:t xml:space="preserve">Во март 2022 година, Министерството за труд и социјална политика отвори ресурсен центар за родово одговорно креирање политики и буџетирање за да го зголеми капацитетот на јавната администрација за спроведување мерки поврзани со Директивата 2006/54/ЕЗ на ЕУ за спроведување на начелото на еднакви можности и еднаков третман на мажите и жените во прашањата поврзани со вработување и занимање и </w:t>
      </w:r>
      <w:r>
        <w:rPr>
          <w:rFonts w:ascii="Times New Roman" w:hAnsi="Times New Roman" w:cs="Times New Roman"/>
          <w:sz w:val="24"/>
        </w:rPr>
        <w:t xml:space="preserve">за </w:t>
      </w:r>
      <w:r w:rsidRPr="00C9671E">
        <w:rPr>
          <w:rFonts w:ascii="Times New Roman" w:hAnsi="Times New Roman" w:cs="Times New Roman"/>
          <w:sz w:val="24"/>
        </w:rPr>
        <w:t>вклучување на родов</w:t>
      </w:r>
      <w:r>
        <w:rPr>
          <w:rFonts w:ascii="Times New Roman" w:hAnsi="Times New Roman" w:cs="Times New Roman"/>
          <w:sz w:val="24"/>
        </w:rPr>
        <w:t xml:space="preserve">ата рамноправност </w:t>
      </w:r>
      <w:r w:rsidRPr="00C9671E">
        <w:rPr>
          <w:rFonts w:ascii="Times New Roman" w:hAnsi="Times New Roman" w:cs="Times New Roman"/>
          <w:sz w:val="24"/>
        </w:rPr>
        <w:t xml:space="preserve">во институционалното планирање, програмирање и активности. Сепак, на администрацијата ѝ недостига соодветно родово-стратегиско планирање и алатки за буџетирање, што ги ограничува можностите за ефективно вклучување на родовата </w:t>
      </w:r>
      <w:r>
        <w:rPr>
          <w:rFonts w:ascii="Times New Roman" w:hAnsi="Times New Roman" w:cs="Times New Roman"/>
          <w:sz w:val="24"/>
        </w:rPr>
        <w:t>еднаквост</w:t>
      </w:r>
      <w:r w:rsidRPr="00C9671E">
        <w:rPr>
          <w:rFonts w:ascii="Times New Roman" w:hAnsi="Times New Roman" w:cs="Times New Roman"/>
          <w:sz w:val="24"/>
        </w:rPr>
        <w:t xml:space="preserve"> во креирањето политики и за интегрирање на родовата перспектива во секторскиот дијалог и управувањето со јавните финансии.</w:t>
      </w:r>
    </w:p>
    <w:p w14:paraId="5FBB57F7" w14:textId="63557933" w:rsidR="00A50BBD" w:rsidRPr="00C9671E" w:rsidRDefault="00A50BBD" w:rsidP="006E4EB0">
      <w:pPr>
        <w:autoSpaceDE w:val="0"/>
        <w:autoSpaceDN w:val="0"/>
        <w:adjustRightInd w:val="0"/>
        <w:spacing w:after="120" w:line="240" w:lineRule="auto"/>
        <w:jc w:val="both"/>
        <w:rPr>
          <w:rFonts w:ascii="Times New Roman" w:hAnsi="Times New Roman" w:cs="Times New Roman"/>
          <w:noProof/>
          <w:sz w:val="24"/>
          <w:szCs w:val="24"/>
        </w:rPr>
      </w:pPr>
      <w:r w:rsidRPr="00C9671E">
        <w:rPr>
          <w:rFonts w:ascii="Times New Roman" w:hAnsi="Times New Roman" w:cs="Times New Roman"/>
          <w:color w:val="000000"/>
          <w:sz w:val="24"/>
        </w:rPr>
        <w:t xml:space="preserve">Немањето доволно веродостојни родово разделени податоци меѓу секторите создава значителни ограничувања во развојот на политики и мерки засновани на докази. Првиот </w:t>
      </w:r>
      <w:r>
        <w:rPr>
          <w:rFonts w:ascii="Times New Roman" w:hAnsi="Times New Roman" w:cs="Times New Roman"/>
          <w:color w:val="000000"/>
          <w:sz w:val="24"/>
        </w:rPr>
        <w:t>н</w:t>
      </w:r>
      <w:r w:rsidRPr="00C9671E">
        <w:rPr>
          <w:rFonts w:ascii="Times New Roman" w:hAnsi="Times New Roman" w:cs="Times New Roman"/>
          <w:color w:val="000000"/>
          <w:sz w:val="24"/>
        </w:rPr>
        <w:t>ационален индекс за родова еднаквост беше објавен во 2019 година, но не е ажуриран. Собирањето и анализата на родовата статистика бараат зајакнување на капацитетот на релевантните институции и подобрена институционална координација.</w:t>
      </w:r>
    </w:p>
    <w:p w14:paraId="312A8F80"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noProof/>
          <w:color w:val="000000"/>
          <w:sz w:val="24"/>
          <w:szCs w:val="24"/>
        </w:rPr>
      </w:pPr>
      <w:r w:rsidRPr="00C9671E">
        <w:rPr>
          <w:rFonts w:ascii="Times New Roman" w:hAnsi="Times New Roman" w:cs="Times New Roman"/>
          <w:color w:val="000000"/>
          <w:sz w:val="24"/>
        </w:rPr>
        <w:t>Родовиот јаз и стереотипите и понатаму се присутни во јавниот и политичкиот живот (</w:t>
      </w:r>
      <w:r w:rsidRPr="00C9671E">
        <w:rPr>
          <w:rFonts w:ascii="Times New Roman" w:hAnsi="Times New Roman" w:cs="Times New Roman"/>
          <w:i/>
          <w:iCs/>
          <w:color w:val="000000"/>
          <w:sz w:val="24"/>
        </w:rPr>
        <w:t xml:space="preserve">види 2.1.1 </w:t>
      </w:r>
      <w:r w:rsidRPr="00C9671E">
        <w:rPr>
          <w:rFonts w:ascii="Times New Roman" w:hAnsi="Times New Roman" w:cs="Times New Roman"/>
          <w:i/>
          <w:color w:val="000000"/>
          <w:sz w:val="24"/>
        </w:rPr>
        <w:t>Демократија</w:t>
      </w:r>
      <w:r w:rsidRPr="00C9671E">
        <w:rPr>
          <w:rFonts w:ascii="Times New Roman" w:hAnsi="Times New Roman" w:cs="Times New Roman"/>
          <w:color w:val="000000"/>
          <w:sz w:val="24"/>
        </w:rPr>
        <w:t xml:space="preserve">). </w:t>
      </w:r>
    </w:p>
    <w:p w14:paraId="48CFE323"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Cs/>
          <w:noProof/>
          <w:sz w:val="24"/>
          <w:szCs w:val="24"/>
        </w:rPr>
      </w:pPr>
      <w:r w:rsidRPr="00C9671E">
        <w:rPr>
          <w:rFonts w:ascii="Times New Roman" w:hAnsi="Times New Roman" w:cs="Times New Roman"/>
          <w:sz w:val="24"/>
        </w:rPr>
        <w:t xml:space="preserve">Двата случаја „Јавна соба“, каде што експлицитни фотографии и приватни информации на девојчиња и жени беа споделувани на мрежна платформа, резултираа со судска пресуда против основачот и администраторот на платформата за производство и </w:t>
      </w:r>
      <w:r w:rsidRPr="00C9671E">
        <w:rPr>
          <w:rFonts w:ascii="Times New Roman" w:hAnsi="Times New Roman" w:cs="Times New Roman"/>
          <w:sz w:val="24"/>
        </w:rPr>
        <w:lastRenderedPageBreak/>
        <w:t xml:space="preserve">дистрибуција на детска порнографија (малолетни девојки). Сè уште има недостатоци во поврзаната законодавна рамка бидејќи Кривичниот законик и поврзаното законодавство за спроведување не се усогласени со Истанбулската конвенција. </w:t>
      </w:r>
      <w:r w:rsidRPr="00C9671E">
        <w:rPr>
          <w:rFonts w:ascii="Times New Roman" w:hAnsi="Times New Roman" w:cs="Times New Roman"/>
          <w:color w:val="000000"/>
          <w:sz w:val="24"/>
        </w:rPr>
        <w:t>Следењето од страна на институциите во случаите на силување и семејно насилство треба да се подобри со јасни меѓуинституционални протоколи и стандардизирани услуги за реинтеграција на жртвите.</w:t>
      </w:r>
    </w:p>
    <w:p w14:paraId="6A49940C"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Администрацијата ја измени правната рамка со која се уредува заштитата на </w:t>
      </w:r>
      <w:r w:rsidRPr="00C9671E">
        <w:rPr>
          <w:rFonts w:ascii="Times New Roman" w:hAnsi="Times New Roman" w:cs="Times New Roman"/>
          <w:b/>
          <w:bCs/>
          <w:sz w:val="24"/>
        </w:rPr>
        <w:t>правата на детето</w:t>
      </w:r>
      <w:r w:rsidRPr="00C9671E">
        <w:rPr>
          <w:rFonts w:ascii="Times New Roman" w:hAnsi="Times New Roman" w:cs="Times New Roman"/>
          <w:sz w:val="24"/>
        </w:rPr>
        <w:t xml:space="preserve"> во согласност со меѓународните стандарди. Сепак, потребен е поширок општествен и меѓупартиски консензус за клучните законодавни реформи за да се премостат правните јазови, следејќи ги потребите и најдобрите интереси на децата. Неусогласеностите помеѓу одредбите од Законот за семејство за посвојување и меѓународните стандарди не се решени. Допрва треба да се подготви акциски план за деца, вклучувајќи доволен буџет и секторски модели за обезбедување ефективни услуги за децата.</w:t>
      </w:r>
    </w:p>
    <w:p w14:paraId="23C18480"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Потребни се дополнителни напори за справување со структурните предизвици, како што се недостатокот на ресурси во државните институции што се занимаваат со детските права, недостатокот на стратегиски документи за правата на детето и функционирањето на статутарното тело одговорно за надзор на спроведувањето на Конвенцијата за правата на детето. Треба да се подобрат консултациите со младите во креирањето политики. Има потреба да се подобри соработката меѓу институциите за подобро разбирање и справување со предизвиците со кои се соочуваат различни групи деца, како што се децата со попреченост или децата од ромската заедница.</w:t>
      </w:r>
    </w:p>
    <w:p w14:paraId="5204EACE"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Во 2021 година до Народниот правобранител биле поднесени 254 поплаки поврзани со прекршување на детските права, од кои девет се однесуваат на деца со попреченост. Народниот правобранител даде 139 мислења, кои беа прифатени во 93 предмета. Сепак, институциите треба да спроведат системски промени по препораките на Народниот правобранител. Најголем дел од поплаките и понатаму ги доставуваат родителите/негувателите, а не самите деца. Националното координативно тело за заштита на децата од насилство донесе Протокол за дејствување на мултисекторските тимови за заштита на децата жртви на злоупотреба, запоставување и насилство. Обезбедена е обука за мултисекторски тимови во 12 градови низ државата.</w:t>
      </w:r>
    </w:p>
    <w:p w14:paraId="21B0C58B"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Сепак, остануваат предизвици за целосно спроведување на Националната стратегија за ставање крај на насилството врз децата (2020 </w:t>
      </w:r>
      <w:r w:rsidRPr="00C9671E">
        <w:rPr>
          <w:rFonts w:ascii="Times New Roman" w:hAnsi="Times New Roman" w:cs="Times New Roman"/>
          <w:i/>
          <w:iCs/>
          <w:sz w:val="24"/>
        </w:rPr>
        <w:t xml:space="preserve">– </w:t>
      </w:r>
      <w:r w:rsidRPr="00C9671E">
        <w:rPr>
          <w:rFonts w:ascii="Times New Roman" w:hAnsi="Times New Roman" w:cs="Times New Roman"/>
          <w:sz w:val="24"/>
        </w:rPr>
        <w:t>2025). Органите треба да одвојат доволно ресурси за системот за заштита на децата за да се справат со зголемените предизвици на онлајн насилството и злоупотребата (сајбер малтретирање). Потребни се дополнителни напори за подигање на свеста за насилството врз децата кај пошироката јавност и кај професионалците за да ја препознаат злоупотребата и да ја пријават. Земјата треба да донесе програми за поддршка на рехабилитација, ресоцијализација или реинтеграција на децата жртви на насилство.</w:t>
      </w:r>
    </w:p>
    <w:p w14:paraId="15971DC5"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Пандемијата на КОВИД-19 покажа дека дигитализацијата на услугите треба да оди паралелно со зголемените напори за едукација и олеснување на пристапот до овие технологии за ранливите групи, на кои често им недостасуваат дигитални вештини.</w:t>
      </w:r>
    </w:p>
    <w:p w14:paraId="615DD1DA"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И покрај значителната група мерки за социјална и детска заштита за борба против социо-економските последици од КОВИД-19, анализата покажа дека релативната детска сиромаштија е зголемена, ставајќи во ризик дополнителни 19.000 деца. Потребни се понатамошни напори за системот за социјална заштита да се направи почувствителен на децата врз основа на модел на обезбедување услуги насочени кон децата, вклучително и преку зајакнување на професионалниот развој и надзор во </w:t>
      </w:r>
      <w:r w:rsidRPr="00C9671E">
        <w:rPr>
          <w:rFonts w:ascii="Times New Roman" w:hAnsi="Times New Roman" w:cs="Times New Roman"/>
          <w:sz w:val="24"/>
        </w:rPr>
        <w:lastRenderedPageBreak/>
        <w:t>обезбедувањето квалитетни услуги за детска заштита. Локалните самоуправи и организациите на граѓанското општество треба да ја подобрат соработката со центрите за социјална работа за да развијат и поддржат нови услуги во заедниците низ целата земја, вклучително и услуги за поддршка на децата во ризик, децата Роми и децата со попреченост што се жртви на дискриминација и сегрегација.</w:t>
      </w:r>
    </w:p>
    <w:p w14:paraId="67487661"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Северна Македонија ја продолжи својата работа за целосно вклучување на децата со попреченост во редовните училишта и во предучилишните установи. Сепак, промената од медицински во социјален модел на процена на попреченоста заснована на човековите права не е систематски воведена. И покрај подобрувањата во законската рамка, акцијата за обезбедување еднаков пристап до образование за децата со попреченост е во рана фаза. Во однос на децата без родителска грижа, се инвестираше за зајакнување на системот за згрижување деца, особено во домовите за згрижување и згрижување во заедницата. Услугите во заедницата и под регионалните центри за помош со згрижувачки семејства беа обезбедени низ целата земја и ниту едно дете сега не останува под институционализирана грижа.</w:t>
      </w:r>
    </w:p>
    <w:p w14:paraId="61F24D70"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Органите идентификуваа шест деца жртви на трговија со луѓе во 2021 година. Дополнителни пет деца беа идентификувани како потенцијални жртви на трговија со луѓе. Потребни се повеќе мерки за да се осигури дека ранливите деца се заштитени од сексуална експлоатација. Неопходно е да се прошири правната едукација што им се обезбедува на судиите и јавните обвинители за прашања како што се дискриминација врз основа на попреченост, родово и сексуално насилство врз жените и насилство врз деца.</w:t>
      </w:r>
    </w:p>
    <w:p w14:paraId="2791B89A"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Потребно е систематско спроведување на Законот за малолетничка правда. Пристапот до правдата, правното застапување и капацитетот на јавните службеници што работат со деца жртви, деца сведоци и деца во судир со законот и понатаму се несоодветни. Меѓусекторскиот пристап кон примената на правната рамка треба да биде систематизиран и поедноставен кај професионалците за малолетничка правда. Правната рамка треба дополнително да се ажурира со меѓународни стандарди и директиви на ЕУ, вклучувајќи ја Директивата (EУ) 2016/800 за процесни заштитни мерки за деца што се осомничени или обвинети лица во кривични постапки</w:t>
      </w:r>
      <w:r w:rsidRPr="00C9671E">
        <w:rPr>
          <w:rFonts w:ascii="Times New Roman" w:hAnsi="Times New Roman" w:cs="Times New Roman"/>
          <w:noProof/>
          <w:sz w:val="24"/>
          <w:szCs w:val="24"/>
          <w:vertAlign w:val="superscript"/>
        </w:rPr>
        <w:footnoteReference w:id="9"/>
      </w:r>
      <w:r w:rsidRPr="00C9671E">
        <w:rPr>
          <w:rFonts w:ascii="Times New Roman" w:hAnsi="Times New Roman" w:cs="Times New Roman"/>
          <w:sz w:val="24"/>
        </w:rPr>
        <w:t>.</w:t>
      </w:r>
    </w:p>
    <w:p w14:paraId="1C63A98A"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Подобрени се условите за притвор на момчиња во малолетничкиот воспитно-поправен дом во близина на Тетово. Меѓутоа, во периодот од септември 2021 до јуни 2022 година тие немале пристап до образование. Објектот е оддалечен од градот и поради тоа е непогоден за ресоцијализација и рехабилитација. Девојчињата една година биле во притвор во воспитно-поправниот дом во женското одделение Идризово, затвор што не овозможува соодветна грижа, едукација, ресоцијализација и рехабилитација. Законодавството треба да се измени за да се најде долгорочно решение за воспитно-поправните мерки за девојчињата.</w:t>
      </w:r>
    </w:p>
    <w:p w14:paraId="366BD273" w14:textId="5FBC8043"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Северна Македонија постигна ограничен напредок во подобрување на </w:t>
      </w:r>
      <w:r w:rsidRPr="00C9671E">
        <w:rPr>
          <w:rFonts w:ascii="Times New Roman" w:hAnsi="Times New Roman" w:cs="Times New Roman"/>
          <w:b/>
          <w:sz w:val="24"/>
        </w:rPr>
        <w:t>правата на лицата со попреченост</w:t>
      </w:r>
      <w:r w:rsidRPr="00C9671E">
        <w:rPr>
          <w:rFonts w:ascii="Times New Roman" w:hAnsi="Times New Roman" w:cs="Times New Roman"/>
          <w:sz w:val="24"/>
        </w:rPr>
        <w:t xml:space="preserve">. Во рамките на канцеларијата на Народниот правобранител функционира </w:t>
      </w:r>
      <w:r>
        <w:rPr>
          <w:rFonts w:ascii="Times New Roman" w:hAnsi="Times New Roman" w:cs="Times New Roman"/>
          <w:sz w:val="24"/>
        </w:rPr>
        <w:t>м</w:t>
      </w:r>
      <w:r w:rsidRPr="00C9671E">
        <w:rPr>
          <w:rFonts w:ascii="Times New Roman" w:hAnsi="Times New Roman" w:cs="Times New Roman"/>
          <w:sz w:val="24"/>
        </w:rPr>
        <w:t xml:space="preserve">еханизмот за следење на спроведувањето на Конвенцијата за правата на лицата со попреченост. Донесена е Национална стратегија за изедначување на правата на лицата со </w:t>
      </w:r>
      <w:r>
        <w:rPr>
          <w:rFonts w:ascii="Times New Roman" w:hAnsi="Times New Roman" w:cs="Times New Roman"/>
          <w:sz w:val="24"/>
        </w:rPr>
        <w:t>попреченост</w:t>
      </w:r>
      <w:r w:rsidRPr="00C9671E">
        <w:rPr>
          <w:rFonts w:ascii="Times New Roman" w:hAnsi="Times New Roman" w:cs="Times New Roman"/>
          <w:sz w:val="24"/>
        </w:rPr>
        <w:t xml:space="preserve">. Започнаа подготвителните работи за изработка на Националната стратегија за правата на лицата со попреченост. Владата го донесе акцискиот план за спроведување на Стратегијата за деинституционализација за 2022 </w:t>
      </w:r>
      <w:r w:rsidRPr="00C9671E">
        <w:rPr>
          <w:rFonts w:ascii="Times New Roman" w:hAnsi="Times New Roman" w:cs="Times New Roman"/>
          <w:i/>
          <w:iCs/>
          <w:sz w:val="24"/>
        </w:rPr>
        <w:t xml:space="preserve">– </w:t>
      </w:r>
      <w:r w:rsidRPr="00C9671E">
        <w:rPr>
          <w:rFonts w:ascii="Times New Roman" w:hAnsi="Times New Roman" w:cs="Times New Roman"/>
          <w:sz w:val="24"/>
        </w:rPr>
        <w:lastRenderedPageBreak/>
        <w:t xml:space="preserve">2024 година. Продолжува преселувањето на корисниците од Специјалниот завод Демир Капија. Народниот правобранител потпиша меморандум за соработка со 22 организации на граѓанското општество, дел од Националниот механизам за следење. Сепак, мандатот на националното координативно тело за спроведување на Конвенцијата и неговиот капацитет да влијае врз донесувачите на одлуки во државните структури и понатаму е незначителен. Во 2021 година, Комисијата за спречување и заштита од дискриминација постапи по шест поплаки поврзани со дискриминација по основ на попреченост. </w:t>
      </w:r>
      <w:r>
        <w:rPr>
          <w:rFonts w:ascii="Times New Roman" w:hAnsi="Times New Roman" w:cs="Times New Roman"/>
          <w:sz w:val="24"/>
        </w:rPr>
        <w:t xml:space="preserve">Деветстотини и единаесет </w:t>
      </w:r>
      <w:r w:rsidRPr="00C9671E">
        <w:rPr>
          <w:rFonts w:ascii="Times New Roman" w:hAnsi="Times New Roman" w:cs="Times New Roman"/>
          <w:sz w:val="24"/>
        </w:rPr>
        <w:t xml:space="preserve">ученици со посебни потреби се запишани во основни училишта и 312 во средното образование, поддржани од образовни асистенти за помош на инклузивни тимови. Лицата со попреченост и понатаму се соочуваат со значителна дискриминација, и директна и индиректна, поради пречките во инфраструктурата, недостигот на информации и услуги, дискриминирачкото однесување и социјалната исклученост. </w:t>
      </w:r>
      <w:r w:rsidRPr="00C9671E">
        <w:rPr>
          <w:rFonts w:ascii="Times New Roman" w:hAnsi="Times New Roman" w:cs="Times New Roman"/>
          <w:i/>
          <w:iCs/>
          <w:sz w:val="24"/>
        </w:rPr>
        <w:t>(Види, исто така, Поглавје 19 – Социјална политика и вработување)</w:t>
      </w:r>
    </w:p>
    <w:p w14:paraId="61754BE9" w14:textId="10D32D48"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Промовирањето на еднаквоста и осудата на говорот на омраза, злосторствата од омраза, дискриминацијата и нетолеранцијата кон </w:t>
      </w:r>
      <w:r w:rsidRPr="00C9671E">
        <w:rPr>
          <w:rFonts w:ascii="Times New Roman" w:hAnsi="Times New Roman" w:cs="Times New Roman"/>
          <w:b/>
          <w:sz w:val="24"/>
        </w:rPr>
        <w:t>лезбијките, геј</w:t>
      </w:r>
      <w:r w:rsidRPr="00705B41">
        <w:rPr>
          <w:rFonts w:ascii="Times New Roman" w:hAnsi="Times New Roman" w:cs="Times New Roman"/>
          <w:b/>
          <w:sz w:val="24"/>
        </w:rPr>
        <w:t>-</w:t>
      </w:r>
      <w:r w:rsidRPr="00C9671E">
        <w:rPr>
          <w:rFonts w:ascii="Times New Roman" w:hAnsi="Times New Roman" w:cs="Times New Roman"/>
          <w:b/>
          <w:sz w:val="24"/>
        </w:rPr>
        <w:t>мажите, бисексуалците, трансродовите, интерсекс и квир лица (ЛГБТИК)</w:t>
      </w:r>
      <w:r w:rsidRPr="00C9671E">
        <w:rPr>
          <w:rFonts w:ascii="Times New Roman" w:hAnsi="Times New Roman" w:cs="Times New Roman"/>
          <w:sz w:val="24"/>
        </w:rPr>
        <w:t xml:space="preserve"> треба да биде систематско. И покрај тоа што има правна рамка што штити од дискриминација и злосторствата од омраза врз основа на сексуална ориентација и родов идентитет, спроведувањето на овие закони и понатаму е предизвик. По пресудата на Европскиот суд за човекови права (јануари 2019 година), органите подготвија измени на Законот за матична евиденција за да се воведе законската постапка за признавање на родот. Но, предлог-законот беше повлечен од собраниска процедура во март 2022 година, за дополнителни измени. Правната рамка не дозволува официјално признавање парови од ист пол.</w:t>
      </w:r>
    </w:p>
    <w:p w14:paraId="6BEE0415" w14:textId="21DDE408" w:rsidR="00A50BBD" w:rsidRPr="00C9671E" w:rsidRDefault="00A50BBD" w:rsidP="006E4EB0">
      <w:pPr>
        <w:autoSpaceDE w:val="0"/>
        <w:autoSpaceDN w:val="0"/>
        <w:adjustRightInd w:val="0"/>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Неколку политичари дадоа хомофобични и дискриминаторски изјави. Немаше напредок во истрагите за нападите во 2012, 2013 и 2014 година врз ЛГБТИК-центарот за поддршка. Во ноември 2021 година, канцеларијата на ЛГБТИК-организација во Тетово беше вандализирана и беа упатени смртни закани до активистите. Отсуството на систематско собирање податоци за злосторствата од омраза врз основа на сексуална ориентација и родов идентитет и нивното неефикасно следење од страна на државните органи и понатаму е сериозен проблем. Случаите на злосторства од омраза се регистрираат во базата на податоци на граѓанското општество што води до извештаи. Потребна е акција за зголемување на капацитетот и свеста на службениците за спроведување на законот и правните професионалци за ефикасно спречување и гонење на сите случаи на насилство, злосторства од омраза и говор на омраза. Не беше постигнат напредок за отстранување на негативните стереотипи и говор на омраза кон ЛГБТИК-лицата во учебниците, ниту за донесување на националниот акциски план за ЛГБТИК за 2021-2025 година. Во јуни 2021 година, органите помогнаа за успешно организирање на Парадата на гордоста, на која присуствуваа претседателот на Северна Македонија и голем број министри. Говорот на омраза и погрдните термини за ЛГБТИК</w:t>
      </w:r>
      <w:r>
        <w:rPr>
          <w:rFonts w:ascii="Times New Roman" w:hAnsi="Times New Roman" w:cs="Times New Roman"/>
          <w:sz w:val="24"/>
        </w:rPr>
        <w:t>-</w:t>
      </w:r>
      <w:r w:rsidRPr="00C9671E">
        <w:rPr>
          <w:rFonts w:ascii="Times New Roman" w:hAnsi="Times New Roman" w:cs="Times New Roman"/>
          <w:sz w:val="24"/>
        </w:rPr>
        <w:t>лицата продолжуваат да преовладуваат во онлајн просторот. Потребни се сериозни напори за да се заштитат и да се обезбеди дека луѓето можат да ги остварат своите ЛГБТИК</w:t>
      </w:r>
      <w:r>
        <w:rPr>
          <w:rFonts w:ascii="Times New Roman" w:hAnsi="Times New Roman" w:cs="Times New Roman"/>
          <w:sz w:val="24"/>
        </w:rPr>
        <w:t>-</w:t>
      </w:r>
      <w:r w:rsidRPr="00C9671E">
        <w:rPr>
          <w:rFonts w:ascii="Times New Roman" w:hAnsi="Times New Roman" w:cs="Times New Roman"/>
          <w:sz w:val="24"/>
        </w:rPr>
        <w:t>права.</w:t>
      </w:r>
    </w:p>
    <w:p w14:paraId="251F7CB0"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Во врска со </w:t>
      </w:r>
      <w:r w:rsidRPr="00C9671E">
        <w:rPr>
          <w:rFonts w:ascii="Times New Roman" w:hAnsi="Times New Roman" w:cs="Times New Roman"/>
          <w:b/>
          <w:bCs/>
          <w:sz w:val="24"/>
        </w:rPr>
        <w:t>процедуралните права</w:t>
      </w:r>
      <w:r w:rsidRPr="00C9671E">
        <w:rPr>
          <w:rFonts w:ascii="Times New Roman" w:hAnsi="Times New Roman" w:cs="Times New Roman"/>
          <w:sz w:val="24"/>
        </w:rPr>
        <w:t xml:space="preserve">, земјата и понатаму е делумно усогласена со </w:t>
      </w:r>
      <w:r w:rsidRPr="00C9671E">
        <w:rPr>
          <w:rFonts w:ascii="Times New Roman" w:hAnsi="Times New Roman" w:cs="Times New Roman"/>
          <w:i/>
          <w:sz w:val="24"/>
        </w:rPr>
        <w:t>правото</w:t>
      </w:r>
      <w:r w:rsidRPr="00C9671E">
        <w:rPr>
          <w:rFonts w:ascii="Times New Roman" w:hAnsi="Times New Roman" w:cs="Times New Roman"/>
          <w:sz w:val="24"/>
        </w:rPr>
        <w:t xml:space="preserve"> на ЕУ. Органите треба да преземат конкретни чекори за донесување на Нацрт-законот за обесштетување на жртвите на криминал, вклучително и жртвите на трговија со луѓе. Нацрт-законот беше повлечен од собраниска процедура, за дополнителни консултации. </w:t>
      </w:r>
    </w:p>
    <w:p w14:paraId="43FF2482"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lastRenderedPageBreak/>
        <w:t>Во однос на бесплатната правна помош, Министерството за правда ги интензивираше напорите да им овозможи пристап до примарна и секундарна правна помош на граѓаните кои не можат да си дозволат да ангажираат адвокат. Бесплатната правна помош е достапна преку 34 подрачни единици на Министерството за правда, граѓански здруженија овластени да даваат правна помош, правни клиники во рамките на правните факултети и адвокати сертифицирани за давање секундарна правна помош. На веб-страницата на Министерството за правда достапен е Регистар на здруженија и поединечни правници кои даваат правна помош. Сè поголем број барања се поднесени и одобрени за примарна и секундарна правна помош. Системот на правна помош во кривичната постапка треба да се реформира за да се подобри пристапот до правдата, главно да се преиспитаат критериумите за пристап до правна помош во кривичната постапка (во случаи на задолжителна одбрана, одбрана на сиромашни лица и случаи на застапување на интересите на жртвите на криминал).Буџетот наменет за правна помош во 2021 година изнесувал 81.000 евра. Реализираниот буџет за правна помош во 2021 година изнесувал 28.000 евра.</w:t>
      </w:r>
    </w:p>
    <w:p w14:paraId="2E286E63" w14:textId="5881D26F"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Органите, исто така, треба да преземат конкретни чекори за донесување законодавство во согласност со Директивата (ЕУ) 2016/800 за процесни заштитни мерки за деца </w:t>
      </w:r>
      <w:r>
        <w:rPr>
          <w:rFonts w:ascii="Times New Roman" w:hAnsi="Times New Roman" w:cs="Times New Roman"/>
          <w:sz w:val="24"/>
        </w:rPr>
        <w:t>што</w:t>
      </w:r>
      <w:r w:rsidRPr="00C9671E">
        <w:rPr>
          <w:rFonts w:ascii="Times New Roman" w:hAnsi="Times New Roman" w:cs="Times New Roman"/>
          <w:sz w:val="24"/>
        </w:rPr>
        <w:t xml:space="preserve"> се осомничени или обвинети лица во кривични постапки.</w:t>
      </w:r>
    </w:p>
    <w:p w14:paraId="601F99AA" w14:textId="77777777" w:rsidR="00A50BBD" w:rsidRPr="00C9671E" w:rsidRDefault="00A50BBD" w:rsidP="006E4EB0">
      <w:pPr>
        <w:spacing w:after="120" w:line="240" w:lineRule="auto"/>
        <w:jc w:val="both"/>
        <w:rPr>
          <w:rFonts w:ascii="Times New Roman" w:hAnsi="Times New Roman" w:cs="Times New Roman"/>
          <w:bCs/>
          <w:noProof/>
          <w:sz w:val="24"/>
          <w:szCs w:val="24"/>
        </w:rPr>
      </w:pPr>
      <w:r w:rsidRPr="00C9671E">
        <w:rPr>
          <w:rFonts w:ascii="Times New Roman" w:hAnsi="Times New Roman" w:cs="Times New Roman"/>
          <w:sz w:val="24"/>
        </w:rPr>
        <w:t xml:space="preserve">Во однос на </w:t>
      </w:r>
      <w:r w:rsidRPr="00C9671E">
        <w:rPr>
          <w:rFonts w:ascii="Times New Roman" w:hAnsi="Times New Roman" w:cs="Times New Roman"/>
          <w:b/>
          <w:bCs/>
          <w:sz w:val="24"/>
        </w:rPr>
        <w:t>заштитата на малцинствата</w:t>
      </w:r>
      <w:r w:rsidRPr="00C9671E">
        <w:rPr>
          <w:rFonts w:ascii="Times New Roman" w:hAnsi="Times New Roman" w:cs="Times New Roman"/>
          <w:sz w:val="24"/>
        </w:rPr>
        <w:t>, органите продолжија да ја спроведуваат националната стратегија „Едно општество за сите и интеркултурализам“.</w:t>
      </w:r>
      <w:r>
        <w:rPr>
          <w:rFonts w:ascii="Times New Roman" w:hAnsi="Times New Roman" w:cs="Times New Roman"/>
          <w:sz w:val="24"/>
        </w:rPr>
        <w:t xml:space="preserve"> </w:t>
      </w:r>
      <w:r w:rsidRPr="00C9671E">
        <w:rPr>
          <w:rFonts w:ascii="Times New Roman" w:hAnsi="Times New Roman" w:cs="Times New Roman"/>
          <w:sz w:val="24"/>
        </w:rPr>
        <w:t>Агенцијата за остварување на правата на заедниците се пресели во просториите на Министерството за политички систем и односи меѓу заедниците, што треба да ја забрза комуникацијата меѓу ова тело и органите одговорни за правата на припадниците на помалите етнички заедници. Во текот на 2021 година, Агенцијата започна да обезбедува средства за финансирање проекти предводени од организациите на граѓанското општество кои работат на промоција и заштита на правата на немнозинските заедници.</w:t>
      </w:r>
    </w:p>
    <w:p w14:paraId="3756F676" w14:textId="59B304B9" w:rsidR="00A50BBD" w:rsidRPr="00C9671E" w:rsidRDefault="00A50BBD" w:rsidP="006E4EB0">
      <w:pPr>
        <w:spacing w:after="120" w:line="240" w:lineRule="auto"/>
        <w:jc w:val="both"/>
        <w:rPr>
          <w:rFonts w:ascii="Times New Roman" w:hAnsi="Times New Roman" w:cs="Times New Roman"/>
          <w:bCs/>
          <w:noProof/>
          <w:sz w:val="24"/>
          <w:szCs w:val="24"/>
        </w:rPr>
      </w:pPr>
      <w:r w:rsidRPr="00C9671E">
        <w:rPr>
          <w:rFonts w:ascii="Times New Roman" w:hAnsi="Times New Roman" w:cs="Times New Roman"/>
          <w:sz w:val="24"/>
        </w:rPr>
        <w:t>Координацијата меѓу Постојаното советодавно тело на Владата и Координативното тело на кабинетот на премиерот е во тек, иако и понатаму недостасува транспарентност. Потребно е да се вложат повеќе напори за да се обезбеди целосна независност на Агенцијата за остварување на правата на заедниците и Агенцијата за примена на јазикот во однос на заштитата на нивната главна група на интереси, помалите етнички заедници. И двете институции немаат доволно кадар и не се доволно финансирани. Локалните органи треба да ја искористат националната стратегија за подобрување на состојбата на општинско ниво, каде што застапеноста на немнозинските заедници и понатаму е недоволна.</w:t>
      </w:r>
    </w:p>
    <w:p w14:paraId="1E39CF55" w14:textId="43C9009A"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Постигнат е одреден напредок во инклузијата на </w:t>
      </w:r>
      <w:r w:rsidRPr="00C9671E">
        <w:rPr>
          <w:rFonts w:ascii="Times New Roman" w:hAnsi="Times New Roman" w:cs="Times New Roman"/>
          <w:b/>
          <w:bCs/>
          <w:sz w:val="24"/>
        </w:rPr>
        <w:t>Ромите</w:t>
      </w:r>
      <w:r w:rsidRPr="00C9671E">
        <w:rPr>
          <w:rFonts w:ascii="Times New Roman" w:hAnsi="Times New Roman" w:cs="Times New Roman"/>
          <w:sz w:val="24"/>
        </w:rPr>
        <w:t xml:space="preserve">. Северна Македонија ја донесе новата </w:t>
      </w:r>
      <w:r>
        <w:rPr>
          <w:rFonts w:ascii="Times New Roman" w:hAnsi="Times New Roman" w:cs="Times New Roman"/>
          <w:sz w:val="24"/>
        </w:rPr>
        <w:t>с</w:t>
      </w:r>
      <w:r w:rsidRPr="00C9671E">
        <w:rPr>
          <w:rFonts w:ascii="Times New Roman" w:hAnsi="Times New Roman" w:cs="Times New Roman"/>
          <w:sz w:val="24"/>
        </w:rPr>
        <w:t xml:space="preserve">тратегија за инклузија на Ромите 2022-2030 која опфаќа антициганизам, образование, вработување, социјална заштита и здравствена заштита, домување, граѓанска регистрација и култура. Стратегијата систематски не ги решава учеството, зајакнувањето и градењето капацитети. Земјата донесе и Aкциски план за заштита, промоција и исполнување на човековите права на жените и девојчињата Ромки 2022-2024. Сè уште треба да се подготват преостанатите акциски планови во другите клучни области. Владата назначи советник на премиерот задолжен за прашања за инклузија на Ромите. Во учебната 2021/2022 година, 420 деца Роми, од кои 208 потекнуваат од семејства во социјален ризик, посетувале градинки во 15 општини. Во учебната 2021/2022 година, во основните училишта се запишани 1.601 ромско дете на возраст од шест години. Годишната стапка на децата Роми кои го напуштаат училиштето изнесува 4% во основното и 5% во средното образование. Не беа преземени мерки за да се спречи нередовното посетување на децата Роми во основното образование, да се </w:t>
      </w:r>
      <w:r w:rsidRPr="00C9671E">
        <w:rPr>
          <w:rFonts w:ascii="Times New Roman" w:hAnsi="Times New Roman" w:cs="Times New Roman"/>
          <w:sz w:val="24"/>
        </w:rPr>
        <w:lastRenderedPageBreak/>
        <w:t>реинтегрираат децата кои не се запишани навреме во училиштата или кои го напуштиле образованието без да го завршат. Нема систематски мерки за решавање на прашањето на децата на улица. Министерот за образование и наука ангажираше 30 ромски образовни медијатори да работат во 17 општини. Сегрегацијата во училиштата и понатаму е на високо ниво.</w:t>
      </w:r>
    </w:p>
    <w:p w14:paraId="2AD3A7C7" w14:textId="1128F428"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Во согласност со Законот за неевидентирани лица во матична книга на родени донесен кон крајот на јануари 2020 година, од 700 неевидентирани лица, поднесени се 318 барања за евидентирање во посебната матична книга на родени, од кои 292 лица се евидентирани.</w:t>
      </w:r>
      <w:r>
        <w:rPr>
          <w:rFonts w:ascii="Times New Roman" w:hAnsi="Times New Roman" w:cs="Times New Roman"/>
          <w:sz w:val="24"/>
        </w:rPr>
        <w:t xml:space="preserve"> Петнаесет</w:t>
      </w:r>
      <w:r w:rsidRPr="00C9671E">
        <w:rPr>
          <w:rFonts w:ascii="Times New Roman" w:hAnsi="Times New Roman" w:cs="Times New Roman"/>
          <w:sz w:val="24"/>
        </w:rPr>
        <w:t xml:space="preserve"> раселени семејства се од Косово</w:t>
      </w:r>
      <w:r w:rsidRPr="00C9671E">
        <w:rPr>
          <w:rFonts w:ascii="Times New Roman" w:hAnsi="Times New Roman" w:cs="Times New Roman"/>
          <w:noProof/>
          <w:sz w:val="24"/>
          <w:szCs w:val="24"/>
          <w:vertAlign w:val="superscript"/>
        </w:rPr>
        <w:footnoteReference w:customMarkFollows="1" w:id="10"/>
        <w:sym w:font="Symbol" w:char="F02A"/>
      </w:r>
      <w:r w:rsidRPr="00C9671E">
        <w:rPr>
          <w:rFonts w:ascii="Times New Roman" w:hAnsi="Times New Roman" w:cs="Times New Roman"/>
          <w:sz w:val="24"/>
        </w:rPr>
        <w:t>, од кои 60 деца се сместени во привремени засолништа во Визбегово.</w:t>
      </w:r>
    </w:p>
    <w:p w14:paraId="14D8441A"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Бројот на невработени Роми е 12.990 лица, што е мало намалување од 13.703 лица во 2021 година. Бројот на Роми кои ги користат активните мерки за вработување изнесува 589 или 5,2 % од сите корисници. Не беа донесени нови мерки за насочен пристап кон Ромите. Младинската гарантна шема за 2021 година опфати 979 Роми (488 беа жени). Владата го заврши географското мапирање на ромските населби, кое дава преглед на условите за живот во ромските населби во 14 општини со најмногу ромско население. Поголемиот дел од ромските населби и понатаму не се опфатени со урбанистички планови. Во 2021 година, Комисијата за спречување и заштита од дискриминација евидентирала седум случаи на дискриминација врз основа на ромска етничка припадност. Жените и девојчињата Ромки и понатаму се мошне ранливи, често поради невработеноста. Владата работи на приоритетните акции идентификувани на семинарите за Роми во ноември 2019 година; следењето и известувањето е во тек. Посветеноста на спроведувањето на приоритетите на Познањската декларација и понатаму е задоволувачка.</w:t>
      </w:r>
    </w:p>
    <w:p w14:paraId="47B965DF" w14:textId="77777777" w:rsidR="00A50BBD" w:rsidRPr="00C9671E" w:rsidRDefault="00A50BBD" w:rsidP="006E4EB0">
      <w:pPr>
        <w:keepNext/>
        <w:spacing w:after="120" w:line="240" w:lineRule="auto"/>
        <w:jc w:val="both"/>
        <w:rPr>
          <w:rFonts w:ascii="Times New Roman" w:hAnsi="Times New Roman" w:cs="Times New Roman"/>
          <w:b/>
          <w:noProof/>
          <w:sz w:val="24"/>
          <w:szCs w:val="24"/>
        </w:rPr>
      </w:pPr>
      <w:r w:rsidRPr="00C9671E">
        <w:rPr>
          <w:rFonts w:ascii="Times New Roman" w:hAnsi="Times New Roman" w:cs="Times New Roman"/>
          <w:b/>
          <w:sz w:val="24"/>
        </w:rPr>
        <w:t>Правата на граѓаните на ЕУ</w:t>
      </w:r>
    </w:p>
    <w:p w14:paraId="2E860058"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Во декември 2012 година, Северна Македонија го измени законот со кој се овозможува </w:t>
      </w:r>
      <w:r w:rsidRPr="00C9671E">
        <w:rPr>
          <w:rFonts w:ascii="Times New Roman" w:hAnsi="Times New Roman" w:cs="Times New Roman"/>
          <w:b/>
          <w:bCs/>
          <w:sz w:val="24"/>
        </w:rPr>
        <w:t>стекнување државјанство за посебен економски интерес.</w:t>
      </w:r>
      <w:r w:rsidRPr="00C9671E">
        <w:rPr>
          <w:rFonts w:ascii="Times New Roman" w:hAnsi="Times New Roman" w:cs="Times New Roman"/>
          <w:sz w:val="24"/>
        </w:rPr>
        <w:t xml:space="preserve"> Миграциските и безбедносните ризици што оваа програма може да ги донесе за ЕУ се следат внимателно, особено ако се има предвид неконзистентноста на критериумите за доделување државјанство. Северна Македонија треба да се воздржи од овозможување систематско стекнување државјанство врз основа на посебен економски интерес.</w:t>
      </w:r>
    </w:p>
    <w:p w14:paraId="65C7EBC2" w14:textId="77777777" w:rsidR="00A50BBD" w:rsidRPr="00C9671E" w:rsidRDefault="00A50BBD" w:rsidP="006E4EB0">
      <w:pPr>
        <w:pStyle w:val="Heading3"/>
        <w:spacing w:before="0"/>
        <w:rPr>
          <w:noProof/>
        </w:rPr>
      </w:pPr>
      <w:bookmarkStart w:id="69" w:name="_Toc9430344"/>
      <w:bookmarkStart w:id="70" w:name="_Toc51252767"/>
      <w:bookmarkStart w:id="71" w:name="_Toc84329769"/>
      <w:bookmarkStart w:id="72" w:name="_Toc84631571"/>
      <w:bookmarkStart w:id="73" w:name="_Toc115619781"/>
      <w:bookmarkStart w:id="74" w:name="_Toc117004152"/>
      <w:r w:rsidRPr="00C9671E">
        <w:t>2.2.2</w:t>
      </w:r>
      <w:r w:rsidRPr="00C9671E">
        <w:tab/>
        <w:t>Поглавје 24: Правда, слобода и безбедност</w:t>
      </w:r>
      <w:bookmarkEnd w:id="69"/>
      <w:bookmarkEnd w:id="70"/>
      <w:bookmarkEnd w:id="71"/>
      <w:bookmarkEnd w:id="72"/>
      <w:bookmarkEnd w:id="73"/>
      <w:bookmarkEnd w:id="74"/>
    </w:p>
    <w:p w14:paraId="41AC6FBB" w14:textId="77777777" w:rsidR="00A50BBD" w:rsidRPr="00C9671E" w:rsidRDefault="00A50BBD" w:rsidP="006E4EB0">
      <w:pPr>
        <w:spacing w:after="120" w:line="240" w:lineRule="auto"/>
        <w:jc w:val="both"/>
        <w:rPr>
          <w:rFonts w:ascii="Times New Roman" w:eastAsiaTheme="majorEastAsia" w:hAnsi="Times New Roman" w:cs="Times New Roman"/>
          <w:b/>
          <w:bCs/>
          <w:i/>
          <w:noProof/>
          <w:sz w:val="24"/>
          <w:szCs w:val="24"/>
        </w:rPr>
      </w:pPr>
      <w:r w:rsidRPr="00C9671E">
        <w:rPr>
          <w:rFonts w:ascii="Times New Roman" w:hAnsi="Times New Roman" w:cs="Times New Roman"/>
          <w:i/>
          <w:sz w:val="24"/>
        </w:rPr>
        <w:t>ЕУ има заеднички правила за гранична контрола, визи, дозволи за престој и работа, надворешна миграција и азил. Шенген-соработката наложува укинување на граничните контроли внатре во ЕУ. Земјите членки, исто така, соработуваат со Северна Македонија во борбата против организираниот криминал и тероризмот и за судски, полициски и царински прашања, сите со поддршка од агенциите на ЕУ за правда и внатрешни работи.</w:t>
      </w:r>
    </w:p>
    <w:p w14:paraId="0F473540"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 xml:space="preserve">Северна Македонија е </w:t>
      </w:r>
      <w:r w:rsidRPr="00C9671E">
        <w:rPr>
          <w:rFonts w:ascii="Times New Roman" w:hAnsi="Times New Roman" w:cs="Times New Roman"/>
          <w:b/>
          <w:bCs/>
          <w:sz w:val="24"/>
        </w:rPr>
        <w:t>умерено подготвена</w:t>
      </w:r>
      <w:r w:rsidRPr="00C9671E">
        <w:rPr>
          <w:rFonts w:ascii="Times New Roman" w:hAnsi="Times New Roman" w:cs="Times New Roman"/>
          <w:sz w:val="24"/>
        </w:rPr>
        <w:t xml:space="preserve"> за спроведување на </w:t>
      </w:r>
      <w:r w:rsidRPr="00C9671E">
        <w:rPr>
          <w:rFonts w:ascii="Times New Roman" w:hAnsi="Times New Roman" w:cs="Times New Roman"/>
          <w:i/>
          <w:iCs/>
          <w:sz w:val="24"/>
        </w:rPr>
        <w:t>правото на</w:t>
      </w:r>
      <w:r w:rsidRPr="00C9671E">
        <w:rPr>
          <w:rFonts w:ascii="Times New Roman" w:hAnsi="Times New Roman" w:cs="Times New Roman"/>
          <w:sz w:val="24"/>
        </w:rPr>
        <w:t xml:space="preserve"> ЕУ. Постигнат е </w:t>
      </w:r>
      <w:r w:rsidRPr="00C9671E">
        <w:rPr>
          <w:rFonts w:ascii="Times New Roman" w:hAnsi="Times New Roman" w:cs="Times New Roman"/>
          <w:b/>
          <w:bCs/>
          <w:sz w:val="24"/>
        </w:rPr>
        <w:t>одреден напредок</w:t>
      </w:r>
      <w:r w:rsidRPr="00C9671E">
        <w:rPr>
          <w:rFonts w:ascii="Times New Roman" w:hAnsi="Times New Roman" w:cs="Times New Roman"/>
          <w:sz w:val="24"/>
        </w:rPr>
        <w:t xml:space="preserve"> во ова поглавје и во земањето предвид на минатогодишните препораки, главно со спроведувањето на Заедничкиот акциски план за борба против тероризмот, како и донесувањето стратегиски документи во областа на граничното управување и миграцијата. Мерките за борба против насилниот екстремизам и борба против тероризмот треба да продолжат. Евидентирањето на </w:t>
      </w:r>
      <w:r w:rsidRPr="00C9671E">
        <w:rPr>
          <w:rFonts w:ascii="Times New Roman" w:hAnsi="Times New Roman" w:cs="Times New Roman"/>
          <w:sz w:val="24"/>
        </w:rPr>
        <w:lastRenderedPageBreak/>
        <w:t xml:space="preserve">мигрантите треба да се врши систематски и треба да се подобри профилирањето чувствително на заштита. Земјата треба да воспостави соодветен систем за контрола на нерегуларното движење на луѓе и да ја прекине практиката на враќање мигранти надвор од законската рамка. Соработката со агенциите за спроведување на законот на ЕУ останува добра, а назначен е и обвинител за врска во ЕВРОПРАВДА. </w:t>
      </w:r>
      <w:r w:rsidRPr="00C9671E">
        <w:rPr>
          <w:rFonts w:ascii="Times New Roman" w:hAnsi="Times New Roman" w:cs="Times New Roman"/>
          <w:color w:val="000000"/>
          <w:sz w:val="24"/>
        </w:rPr>
        <w:t>Бидејќи е постигнат само делумен напредок во однос на минатогодишните препораки, овие остануваат валидни.</w:t>
      </w:r>
    </w:p>
    <w:p w14:paraId="39D28356"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Во следната година, земјата, особено, треба:</w:t>
      </w:r>
    </w:p>
    <w:p w14:paraId="5C053EBA" w14:textId="77777777" w:rsidR="00A50BBD" w:rsidRPr="00C9671E" w:rsidRDefault="00A50BBD" w:rsidP="00A50BBD">
      <w:pPr>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 xml:space="preserve">да продолжи со проактивно спроведување на институционалните реформи во структурите за борба против организиран криминал со фокус на зголемување на оперативниот капацитет и соработка; </w:t>
      </w:r>
    </w:p>
    <w:p w14:paraId="50444028" w14:textId="77777777" w:rsidR="00A50BBD" w:rsidRPr="00C9671E" w:rsidRDefault="00A50BBD" w:rsidP="00A50BBD">
      <w:pPr>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да продолжи да го спроведува Заедничкиот акциски план за борба против тероризмот, со фокус на спречување на екстремизмот, реинтеграција на поранешни странски терористички борци и дерадикализација во затворите;</w:t>
      </w:r>
    </w:p>
    <w:p w14:paraId="655E2F85" w14:textId="6B2B5EB2" w:rsidR="00A50BBD" w:rsidRPr="00C9671E" w:rsidRDefault="00A50BBD" w:rsidP="00A50BBD">
      <w:pPr>
        <w:numPr>
          <w:ilvl w:val="0"/>
          <w:numId w:val="33"/>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cs="Times New Roman"/>
          <w:sz w:val="24"/>
        </w:rPr>
        <w:t xml:space="preserve">систематски </w:t>
      </w:r>
      <w:r w:rsidRPr="00C9671E">
        <w:rPr>
          <w:rFonts w:ascii="Times New Roman" w:hAnsi="Times New Roman" w:cs="Times New Roman"/>
          <w:sz w:val="24"/>
        </w:rPr>
        <w:t>да ги евидентира мигрантите и да го подобри профилирањето чувствително на заштита, како и да донесе посистематски пристап во борбата против криумчарењето мигранти; да го усогласи националното законодавство со списокот на ЕУ за трети земји за кои е потребна виза.</w:t>
      </w:r>
    </w:p>
    <w:p w14:paraId="6951FE38" w14:textId="77777777" w:rsidR="00A50BBD" w:rsidRPr="00C9671E" w:rsidRDefault="00A50BBD" w:rsidP="006E4EB0">
      <w:pPr>
        <w:keepNext/>
        <w:spacing w:after="120" w:line="240" w:lineRule="auto"/>
        <w:jc w:val="both"/>
        <w:rPr>
          <w:rFonts w:ascii="Times New Roman" w:hAnsi="Times New Roman" w:cs="Times New Roman"/>
          <w:b/>
          <w:noProof/>
          <w:sz w:val="24"/>
          <w:szCs w:val="24"/>
        </w:rPr>
      </w:pPr>
      <w:r w:rsidRPr="00C9671E">
        <w:rPr>
          <w:rFonts w:ascii="Times New Roman" w:hAnsi="Times New Roman" w:cs="Times New Roman"/>
          <w:b/>
          <w:sz w:val="24"/>
        </w:rPr>
        <w:t>Борба против организиран криминал</w:t>
      </w:r>
    </w:p>
    <w:tbl>
      <w:tblPr>
        <w:tblW w:w="0" w:type="auto"/>
        <w:tblLook w:val="04A0" w:firstRow="1" w:lastRow="0" w:firstColumn="1" w:lastColumn="0" w:noHBand="0" w:noVBand="1"/>
      </w:tblPr>
      <w:tblGrid>
        <w:gridCol w:w="9062"/>
      </w:tblGrid>
      <w:tr w:rsidR="00A50BBD" w:rsidRPr="00C9671E" w14:paraId="34993770" w14:textId="77777777" w:rsidTr="006E4EB0">
        <w:tc>
          <w:tcPr>
            <w:tcW w:w="92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92A2AF" w14:textId="79DCCD65" w:rsidR="00A50BBD" w:rsidRPr="00C9671E" w:rsidRDefault="00A50BBD" w:rsidP="006E4EB0">
            <w:pPr>
              <w:shd w:val="clear" w:color="auto" w:fill="D9D9D9"/>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 xml:space="preserve">Северна Македонија има </w:t>
            </w:r>
            <w:r w:rsidRPr="00C9671E">
              <w:rPr>
                <w:rFonts w:ascii="Times New Roman" w:hAnsi="Times New Roman" w:cs="Times New Roman"/>
                <w:b/>
                <w:bCs/>
                <w:sz w:val="24"/>
              </w:rPr>
              <w:t>одредено ниво на подготвеност</w:t>
            </w:r>
            <w:r w:rsidRPr="00C9671E">
              <w:rPr>
                <w:rFonts w:ascii="Times New Roman" w:hAnsi="Times New Roman" w:cs="Times New Roman"/>
                <w:sz w:val="24"/>
              </w:rPr>
              <w:t xml:space="preserve"> во борбата против организираниот криминал. Постигнат е </w:t>
            </w:r>
            <w:r w:rsidRPr="00C9671E">
              <w:rPr>
                <w:rFonts w:ascii="Times New Roman" w:hAnsi="Times New Roman" w:cs="Times New Roman"/>
                <w:b/>
                <w:bCs/>
                <w:sz w:val="24"/>
              </w:rPr>
              <w:t>одреден напредок</w:t>
            </w:r>
            <w:r w:rsidRPr="00C9671E">
              <w:rPr>
                <w:rFonts w:ascii="Times New Roman" w:hAnsi="Times New Roman" w:cs="Times New Roman"/>
                <w:sz w:val="24"/>
              </w:rPr>
              <w:t xml:space="preserve"> во оперативната соработка со меѓународните партнери, како и во подобрувањето на координацијата на дејствата против организираниот криминал, но мора да се работи повеќе за да се подобри ефикасноста при спроведување на законот во борбата против одредени форми на криминал, како што се перењето пари и финансискиот криминал. Истражните центри </w:t>
            </w:r>
            <w:r>
              <w:rPr>
                <w:rFonts w:ascii="Times New Roman" w:hAnsi="Times New Roman" w:cs="Times New Roman"/>
                <w:sz w:val="24"/>
              </w:rPr>
              <w:t>во рамките на</w:t>
            </w:r>
            <w:r w:rsidRPr="00C9671E">
              <w:rPr>
                <w:rFonts w:ascii="Times New Roman" w:hAnsi="Times New Roman" w:cs="Times New Roman"/>
                <w:sz w:val="24"/>
              </w:rPr>
              <w:t xml:space="preserve"> Основното јавно обвинителство треба да се зајакнат за да ги постигнат своите цели за зголемување на ефикасноста на истрагите и подобрување на координацијата меѓу обвинителите, полицијата и другите релевантни органи.</w:t>
            </w:r>
          </w:p>
          <w:p w14:paraId="5977BC1C" w14:textId="77777777" w:rsidR="00A50BBD" w:rsidRPr="00C9671E" w:rsidRDefault="00A50BBD" w:rsidP="006E4EB0">
            <w:pPr>
              <w:shd w:val="clear" w:color="auto" w:fill="D9D9D9"/>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 xml:space="preserve">Во следната година, земјата, особено, треба: </w:t>
            </w:r>
          </w:p>
          <w:p w14:paraId="61786246" w14:textId="77777777" w:rsidR="00A50BBD" w:rsidRPr="00C9671E" w:rsidRDefault="00A50BBD" w:rsidP="00A50BBD">
            <w:pPr>
              <w:numPr>
                <w:ilvl w:val="0"/>
                <w:numId w:val="33"/>
              </w:numP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дополнително да ја подобри својата евиденција на истраги, кривично гонење и осудување на случаите на организиран криминал и перење пари со фокус на конфискација на приносите од криминал;</w:t>
            </w:r>
          </w:p>
          <w:p w14:paraId="625F0B0B" w14:textId="77777777" w:rsidR="00A50BBD" w:rsidRPr="00C9671E" w:rsidRDefault="00A50BBD" w:rsidP="00A50BBD">
            <w:pPr>
              <w:numPr>
                <w:ilvl w:val="0"/>
                <w:numId w:val="33"/>
              </w:numP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да го донесе и да го спроведе неопходното законодавство за одземање имот;</w:t>
            </w:r>
          </w:p>
          <w:p w14:paraId="7337893F" w14:textId="77777777" w:rsidR="00A50BBD" w:rsidRPr="00C9671E" w:rsidRDefault="00A50BBD" w:rsidP="00A50BBD">
            <w:pPr>
              <w:numPr>
                <w:ilvl w:val="0"/>
                <w:numId w:val="33"/>
              </w:numPr>
              <w:shd w:val="clear" w:color="auto" w:fill="D9D9D9"/>
              <w:autoSpaceDE w:val="0"/>
              <w:autoSpaceDN w:val="0"/>
              <w:adjustRightInd w:val="0"/>
              <w:spacing w:after="120" w:line="240" w:lineRule="auto"/>
              <w:jc w:val="both"/>
              <w:rPr>
                <w:rFonts w:ascii="Times New Roman" w:eastAsia="Calibri" w:hAnsi="Times New Roman" w:cs="Times New Roman"/>
                <w:noProof/>
                <w:sz w:val="24"/>
                <w:szCs w:val="24"/>
              </w:rPr>
            </w:pPr>
            <w:r w:rsidRPr="00C9671E">
              <w:rPr>
                <w:rFonts w:ascii="Times New Roman" w:hAnsi="Times New Roman" w:cs="Times New Roman"/>
                <w:sz w:val="24"/>
              </w:rPr>
              <w:t>да го подготви неопходното законодавство за сајбер безбедност и да воспостави координиран и унифициран систем за справување со сајбер криминал.</w:t>
            </w:r>
          </w:p>
        </w:tc>
      </w:tr>
    </w:tbl>
    <w:p w14:paraId="74F09FC5" w14:textId="77777777" w:rsidR="00A50BBD" w:rsidRPr="00C9671E" w:rsidRDefault="00A50BBD" w:rsidP="006E4EB0">
      <w:pPr>
        <w:keepNext/>
        <w:spacing w:after="120" w:line="240" w:lineRule="auto"/>
        <w:jc w:val="both"/>
        <w:rPr>
          <w:rFonts w:ascii="Times New Roman" w:hAnsi="Times New Roman" w:cs="Times New Roman"/>
          <w:noProof/>
          <w:sz w:val="24"/>
          <w:szCs w:val="24"/>
          <w:u w:val="single"/>
        </w:rPr>
      </w:pPr>
      <w:r w:rsidRPr="00C9671E">
        <w:rPr>
          <w:rFonts w:ascii="Times New Roman" w:hAnsi="Times New Roman" w:cs="Times New Roman"/>
          <w:sz w:val="24"/>
          <w:u w:val="single"/>
        </w:rPr>
        <w:t>Институционална поставеност и правно усогласување</w:t>
      </w:r>
    </w:p>
    <w:p w14:paraId="4E2E51D6"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Земјата има 330 полицајци на 100.000 жители, во споредба со просекот на ЕУ од 333 (Евростат, 2018 </w:t>
      </w:r>
      <w:r w:rsidRPr="00C9671E">
        <w:rPr>
          <w:rFonts w:ascii="Times New Roman" w:hAnsi="Times New Roman" w:cs="Times New Roman"/>
          <w:i/>
          <w:iCs/>
          <w:sz w:val="24"/>
        </w:rPr>
        <w:t xml:space="preserve">– </w:t>
      </w:r>
      <w:r w:rsidRPr="00C9671E">
        <w:rPr>
          <w:rFonts w:ascii="Times New Roman" w:hAnsi="Times New Roman" w:cs="Times New Roman"/>
          <w:sz w:val="24"/>
        </w:rPr>
        <w:t>2020). Во 2021 година се вработени 590 полицајци, а објавени се 600 нови јавни работни места.</w:t>
      </w:r>
    </w:p>
    <w:p w14:paraId="62064F97" w14:textId="26C089EA"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Клучни </w:t>
      </w:r>
      <w:r w:rsidRPr="00C9671E">
        <w:rPr>
          <w:rFonts w:ascii="Times New Roman" w:hAnsi="Times New Roman" w:cs="Times New Roman"/>
          <w:b/>
          <w:bCs/>
          <w:sz w:val="24"/>
        </w:rPr>
        <w:t>институции</w:t>
      </w:r>
      <w:r w:rsidRPr="00C9671E">
        <w:rPr>
          <w:rFonts w:ascii="Times New Roman" w:hAnsi="Times New Roman" w:cs="Times New Roman"/>
          <w:sz w:val="24"/>
        </w:rPr>
        <w:t xml:space="preserve"> за борба против организираниот криминал се специјализираните полициски единици во рамките на Министерството за внатрешни работи, кои се справуваат со различни видови организиран криминал и финансиски истраги. Покрај нив, постои и Управа за финансиско разузнавање во рамки на Министерството за финансии, која собира информации и помага во идентификувањето сомнителни </w:t>
      </w:r>
      <w:r w:rsidRPr="00C9671E">
        <w:rPr>
          <w:rFonts w:ascii="Times New Roman" w:hAnsi="Times New Roman" w:cs="Times New Roman"/>
          <w:sz w:val="24"/>
        </w:rPr>
        <w:lastRenderedPageBreak/>
        <w:t>трансакции. Единици за финансиско истражување дејствуваат и во Царинската управа, Финансиската полиција и во Министерството за внатрешни работи.</w:t>
      </w:r>
    </w:p>
    <w:p w14:paraId="27282D52" w14:textId="437790FA"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Полицијата генерално е добро опремена и обучена. Центарот за обука на полицијата во рамки на Министерството за внатрешни работи обезбедува и почетна и стручна обука. Министерството за внатрешни работи подготви Стратешки план за периодот 2021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2023 година што ги утврдува среднорочните приоритети и содржи цели за развој на полициските сили и ја заменува претходната </w:t>
      </w:r>
      <w:r>
        <w:rPr>
          <w:rFonts w:ascii="Times New Roman" w:hAnsi="Times New Roman" w:cs="Times New Roman"/>
          <w:sz w:val="24"/>
        </w:rPr>
        <w:t>с</w:t>
      </w:r>
      <w:r w:rsidRPr="00C9671E">
        <w:rPr>
          <w:rFonts w:ascii="Times New Roman" w:hAnsi="Times New Roman" w:cs="Times New Roman"/>
          <w:sz w:val="24"/>
        </w:rPr>
        <w:t>тратегија за развој на полицијата.</w:t>
      </w:r>
    </w:p>
    <w:p w14:paraId="4B5F77FB"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Cs/>
          <w:noProof/>
          <w:sz w:val="24"/>
          <w:szCs w:val="24"/>
        </w:rPr>
      </w:pPr>
      <w:r w:rsidRPr="00C9671E">
        <w:rPr>
          <w:rFonts w:ascii="Times New Roman" w:hAnsi="Times New Roman" w:cs="Times New Roman"/>
          <w:sz w:val="24"/>
        </w:rPr>
        <w:t xml:space="preserve">Северна Македонија спроведе сеопфатна реформа на своите </w:t>
      </w:r>
      <w:r w:rsidRPr="00C9671E">
        <w:rPr>
          <w:rFonts w:ascii="Times New Roman" w:hAnsi="Times New Roman" w:cs="Times New Roman"/>
          <w:b/>
          <w:bCs/>
          <w:sz w:val="24"/>
        </w:rPr>
        <w:t>разузнавачки служби</w:t>
      </w:r>
      <w:r w:rsidRPr="00C9671E">
        <w:rPr>
          <w:rFonts w:ascii="Times New Roman" w:hAnsi="Times New Roman" w:cs="Times New Roman"/>
          <w:sz w:val="24"/>
        </w:rPr>
        <w:t xml:space="preserve">. </w:t>
      </w:r>
      <w:r w:rsidRPr="00C9671E">
        <w:rPr>
          <w:rFonts w:ascii="Times New Roman" w:hAnsi="Times New Roman" w:cs="Times New Roman"/>
          <w:color w:val="000000"/>
          <w:sz w:val="24"/>
        </w:rPr>
        <w:t>Агенцијата за национална безбедност (АНБ) сѐ уште е сместена во просториите на Министерството за внатрешни работи. Техничките услови за правилно функционирање на системот за следење на комуникациите се дополнително подобрени. Оперативно-техничката агенција и понатаму обезбедува поврзување во системот за следење на комуникациите.</w:t>
      </w:r>
    </w:p>
    <w:p w14:paraId="288AC62E"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Агенцијата за управување со одземен имот, формирана во рамките на Јавното обвинителство, има само еден јавен обвинител, а е предвидено да има пет. Сѐ уште не е донесен Законот за Агенцијата за управување со одземен имот.</w:t>
      </w:r>
    </w:p>
    <w:p w14:paraId="6EE19F0F" w14:textId="77777777"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Националниот совет за сајбер безбедност е составен од министрите за одбрана, внатрешни работи и информатичко општество и администрација, но тој не беше активен во извештајниот период. Националната стратегија за сајбер безбедност 2018 </w:t>
      </w:r>
      <w:r w:rsidRPr="00C9671E">
        <w:rPr>
          <w:rFonts w:ascii="Times New Roman" w:hAnsi="Times New Roman" w:cs="Times New Roman"/>
          <w:i/>
          <w:iCs/>
          <w:sz w:val="24"/>
        </w:rPr>
        <w:t xml:space="preserve">– </w:t>
      </w:r>
      <w:r w:rsidRPr="00C9671E">
        <w:rPr>
          <w:rFonts w:ascii="Times New Roman" w:hAnsi="Times New Roman" w:cs="Times New Roman"/>
          <w:sz w:val="24"/>
        </w:rPr>
        <w:t>2022 и поврзаниот акциски план истекуваат на крајот на 2022 година. Новата стратегија е во подготовка и треба да ја земе предвид оцената од спроведувањето на претходната стратегија.</w:t>
      </w:r>
    </w:p>
    <w:p w14:paraId="60A0062C" w14:textId="5D019EC9"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Во однос на </w:t>
      </w:r>
      <w:r w:rsidRPr="00C9671E">
        <w:rPr>
          <w:rFonts w:ascii="Times New Roman" w:hAnsi="Times New Roman" w:cs="Times New Roman"/>
          <w:b/>
          <w:bCs/>
          <w:sz w:val="24"/>
        </w:rPr>
        <w:t>правната рамка</w:t>
      </w:r>
      <w:r w:rsidRPr="00C9671E">
        <w:rPr>
          <w:rFonts w:ascii="Times New Roman" w:hAnsi="Times New Roman" w:cs="Times New Roman"/>
          <w:sz w:val="24"/>
        </w:rPr>
        <w:t xml:space="preserve">, Кривичниот законик е во голема мера усогласен со европските стандарди и ги води за незаконски трговијата со луѓе, детската порнографија, компјутерскиот криминал и трговијата со дрога. Северна Македонија е членка на Конвенцијата од Будимпешта на Советот на Европа за сајбер криминал и беше меѓу 22-те земји што го потпишаа Вториот дополнителен протокол за зајакната соработка и откривање електронски докази. Во однос на преговорите за Конвенција за сајбер криминал на Обединетите нации врз основа на </w:t>
      </w:r>
      <w:r>
        <w:rPr>
          <w:rFonts w:ascii="Times New Roman" w:hAnsi="Times New Roman" w:cs="Times New Roman"/>
          <w:sz w:val="24"/>
        </w:rPr>
        <w:t>Р</w:t>
      </w:r>
      <w:r w:rsidRPr="00C9671E">
        <w:rPr>
          <w:rFonts w:ascii="Times New Roman" w:hAnsi="Times New Roman" w:cs="Times New Roman"/>
          <w:sz w:val="24"/>
        </w:rPr>
        <w:t>езолуцијата 74/247 на Генералното собрание на Обединетите нации, Северна Македонија покажа модели на гласање што се целосно конвергентни со ставот на ЕУ и нејзините земји членки.</w:t>
      </w:r>
    </w:p>
    <w:p w14:paraId="7619AC69" w14:textId="2235684D" w:rsidR="00A50BBD" w:rsidRPr="00C9671E" w:rsidRDefault="00A50BBD" w:rsidP="006E4EB0">
      <w:pPr>
        <w:spacing w:after="120" w:line="240" w:lineRule="auto"/>
        <w:jc w:val="both"/>
        <w:rPr>
          <w:rFonts w:ascii="Times New Roman" w:hAnsi="Times New Roman" w:cs="Times New Roman"/>
          <w:noProof/>
          <w:sz w:val="24"/>
          <w:szCs w:val="24"/>
        </w:rPr>
      </w:pPr>
      <w:r w:rsidRPr="00C9671E">
        <w:rPr>
          <w:rFonts w:ascii="Times New Roman" w:hAnsi="Times New Roman" w:cs="Times New Roman"/>
          <w:sz w:val="24"/>
        </w:rPr>
        <w:t xml:space="preserve">Што се однесува на </w:t>
      </w:r>
      <w:r w:rsidRPr="00C9671E">
        <w:rPr>
          <w:rFonts w:ascii="Times New Roman" w:hAnsi="Times New Roman" w:cs="Times New Roman"/>
          <w:b/>
          <w:bCs/>
          <w:sz w:val="24"/>
        </w:rPr>
        <w:t>стратегиската рамка</w:t>
      </w:r>
      <w:r w:rsidRPr="00C9671E">
        <w:rPr>
          <w:rFonts w:ascii="Times New Roman" w:hAnsi="Times New Roman" w:cs="Times New Roman"/>
          <w:sz w:val="24"/>
        </w:rPr>
        <w:t xml:space="preserve">, постои Национална стратегија за спречување перење пари и финансирање тероризам (2021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2023) и Национална стратегија за </w:t>
      </w:r>
      <w:r>
        <w:rPr>
          <w:rFonts w:ascii="Times New Roman" w:hAnsi="Times New Roman" w:cs="Times New Roman"/>
          <w:sz w:val="24"/>
        </w:rPr>
        <w:t>јакнење на</w:t>
      </w:r>
      <w:r w:rsidRPr="00C9671E">
        <w:rPr>
          <w:rFonts w:ascii="Times New Roman" w:hAnsi="Times New Roman" w:cs="Times New Roman"/>
          <w:sz w:val="24"/>
        </w:rPr>
        <w:t xml:space="preserve"> капацитети</w:t>
      </w:r>
      <w:r>
        <w:rPr>
          <w:rFonts w:ascii="Times New Roman" w:hAnsi="Times New Roman" w:cs="Times New Roman"/>
          <w:sz w:val="24"/>
        </w:rPr>
        <w:t>те</w:t>
      </w:r>
      <w:r w:rsidRPr="00C9671E">
        <w:rPr>
          <w:rFonts w:ascii="Times New Roman" w:hAnsi="Times New Roman" w:cs="Times New Roman"/>
          <w:sz w:val="24"/>
        </w:rPr>
        <w:t xml:space="preserve"> за </w:t>
      </w:r>
      <w:r>
        <w:rPr>
          <w:rFonts w:ascii="Times New Roman" w:hAnsi="Times New Roman" w:cs="Times New Roman"/>
          <w:sz w:val="24"/>
        </w:rPr>
        <w:t xml:space="preserve">водење </w:t>
      </w:r>
      <w:r w:rsidRPr="00C9671E">
        <w:rPr>
          <w:rFonts w:ascii="Times New Roman" w:hAnsi="Times New Roman" w:cs="Times New Roman"/>
          <w:sz w:val="24"/>
        </w:rPr>
        <w:t xml:space="preserve">финансиски истраги и конфискација на имот (2021 </w:t>
      </w:r>
      <w:r w:rsidRPr="00C9671E">
        <w:rPr>
          <w:rFonts w:ascii="Times New Roman" w:hAnsi="Times New Roman" w:cs="Times New Roman"/>
          <w:i/>
          <w:iCs/>
          <w:sz w:val="24"/>
        </w:rPr>
        <w:t xml:space="preserve">– </w:t>
      </w:r>
      <w:r w:rsidRPr="00C9671E">
        <w:rPr>
          <w:rFonts w:ascii="Times New Roman" w:hAnsi="Times New Roman" w:cs="Times New Roman"/>
          <w:sz w:val="24"/>
        </w:rPr>
        <w:t>2023) заедно со Акцискиот план. Во јуни 2022 година, Собранието донесе ново законодавство за борба против перење пари и финансирање тероризам што има за цел да се усогласи со 5-тата Директива за спречување перење пари, вклучувајќи ги и криптосредствата и да одговори на препораките на Оперативната група за финансиски акции. Соработката меѓу институциите продолжува да се зголемува, а воведени се нови алатки за олеснување на известувањето и следењето сомнителни трансакции врз основа на пристапот за процена на ризикот. Управата за финансиско разузнавање го зајакна својот аналитички капацитет за обработка податоци и финансиска анализа. Во 2021 година, покренати се обвиненија против 15 лица и донесени се 7 пресуди против 16 сторители за перење пари.</w:t>
      </w:r>
    </w:p>
    <w:p w14:paraId="51F81D99" w14:textId="719091D4" w:rsidR="00A50BBD" w:rsidRDefault="00A50BBD" w:rsidP="006E4EB0">
      <w:pPr>
        <w:spacing w:after="120" w:line="240" w:lineRule="auto"/>
        <w:jc w:val="both"/>
        <w:rPr>
          <w:rFonts w:ascii="Times New Roman" w:hAnsi="Times New Roman" w:cs="Times New Roman"/>
          <w:sz w:val="24"/>
        </w:rPr>
      </w:pPr>
      <w:r w:rsidRPr="00C9671E">
        <w:rPr>
          <w:rFonts w:ascii="Times New Roman" w:hAnsi="Times New Roman" w:cs="Times New Roman"/>
          <w:sz w:val="24"/>
        </w:rPr>
        <w:t xml:space="preserve">Националната стратегија за борба против трговијата со луѓе и илегалната миграција (2021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2025) продолжи да се спроведува. Националната комисија за борба против трговија со луѓе и илегална миграција е одговорна за следење на спроведувањето на </w:t>
      </w:r>
      <w:r w:rsidRPr="00C9671E">
        <w:rPr>
          <w:rFonts w:ascii="Times New Roman" w:hAnsi="Times New Roman" w:cs="Times New Roman"/>
          <w:sz w:val="24"/>
        </w:rPr>
        <w:lastRenderedPageBreak/>
        <w:t xml:space="preserve">Стратегијата. Децентрализацијата на Националната комисија, преку формирање локални комисии на општинско ниво, сѐ уште треба да ја докаже својата ефективност на терен. Националната стратегија за контрола на мало и лесно оружје и Акцискиот план 2022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2025 </w:t>
      </w:r>
      <w:r>
        <w:rPr>
          <w:rFonts w:ascii="Times New Roman" w:hAnsi="Times New Roman" w:cs="Times New Roman"/>
          <w:sz w:val="24"/>
        </w:rPr>
        <w:t>чија цел е</w:t>
      </w:r>
      <w:r w:rsidRPr="00C9671E">
        <w:rPr>
          <w:rFonts w:ascii="Times New Roman" w:hAnsi="Times New Roman" w:cs="Times New Roman"/>
          <w:sz w:val="24"/>
        </w:rPr>
        <w:t xml:space="preserve"> усогласување со целите на Патоказот за 2018 година за одржливо решение за нелегалното поседување, злоупотреба и трговија со мало и лесно оружје и муниција во Западен Балкан останува да се донесе.</w:t>
      </w:r>
    </w:p>
    <w:p w14:paraId="36944E53" w14:textId="77777777" w:rsidR="00A50BBD" w:rsidRPr="00865EBC" w:rsidRDefault="00A50BBD" w:rsidP="006E4EB0">
      <w:pPr>
        <w:keepNext/>
        <w:rPr>
          <w:rFonts w:ascii="Times New Roman" w:hAnsi="Times New Roman" w:cs="Times New Roman"/>
          <w:noProof/>
          <w:sz w:val="24"/>
          <w:szCs w:val="24"/>
          <w:u w:val="single"/>
        </w:rPr>
      </w:pPr>
      <w:r w:rsidRPr="00865EBC">
        <w:rPr>
          <w:rFonts w:ascii="Times New Roman" w:hAnsi="Times New Roman" w:cs="Times New Roman"/>
          <w:sz w:val="24"/>
          <w:u w:val="single"/>
        </w:rPr>
        <w:t>Капацитет за спроведување и извршување</w:t>
      </w:r>
    </w:p>
    <w:p w14:paraId="728D9486" w14:textId="77777777" w:rsidR="00A50BBD" w:rsidRPr="00865EBC" w:rsidRDefault="00A50BBD" w:rsidP="00705B41">
      <w:pPr>
        <w:autoSpaceDE w:val="0"/>
        <w:autoSpaceDN w:val="0"/>
        <w:adjustRightInd w:val="0"/>
        <w:jc w:val="both"/>
        <w:rPr>
          <w:rFonts w:ascii="Times New Roman" w:hAnsi="Times New Roman" w:cs="Times New Roman"/>
          <w:noProof/>
          <w:color w:val="000000"/>
          <w:sz w:val="24"/>
          <w:szCs w:val="24"/>
        </w:rPr>
      </w:pPr>
      <w:r w:rsidRPr="00865EBC">
        <w:rPr>
          <w:rFonts w:ascii="Times New Roman" w:hAnsi="Times New Roman" w:cs="Times New Roman"/>
          <w:color w:val="000000"/>
          <w:sz w:val="24"/>
        </w:rPr>
        <w:t>Евиденцијата за истраги, обвиненија и пресуди во борбата против организираниот криминал целосно е подобренa.</w:t>
      </w:r>
    </w:p>
    <w:p w14:paraId="3C87D8BC" w14:textId="52376F85" w:rsidR="00A50BBD" w:rsidRPr="00865EBC" w:rsidRDefault="00A50BBD" w:rsidP="00705B41">
      <w:pPr>
        <w:jc w:val="both"/>
        <w:rPr>
          <w:rFonts w:ascii="Times New Roman" w:hAnsi="Times New Roman" w:cs="Times New Roman"/>
          <w:noProof/>
          <w:sz w:val="24"/>
          <w:szCs w:val="24"/>
        </w:rPr>
      </w:pPr>
      <w:r w:rsidRPr="00865EBC">
        <w:rPr>
          <w:rFonts w:ascii="Times New Roman" w:hAnsi="Times New Roman" w:cs="Times New Roman"/>
          <w:sz w:val="24"/>
        </w:rPr>
        <w:t>Во 2021 година беа покренати истраги против 119 лица. Беа покренати обвиненија против 55 лица. Во 3 случа</w:t>
      </w:r>
      <w:r>
        <w:rPr>
          <w:rFonts w:ascii="Times New Roman" w:hAnsi="Times New Roman" w:cs="Times New Roman"/>
          <w:sz w:val="24"/>
          <w:lang w:val="en-US"/>
        </w:rPr>
        <w:t>и</w:t>
      </w:r>
      <w:r w:rsidRPr="00865EBC">
        <w:rPr>
          <w:rFonts w:ascii="Times New Roman" w:hAnsi="Times New Roman" w:cs="Times New Roman"/>
          <w:sz w:val="24"/>
        </w:rPr>
        <w:t xml:space="preserve"> беа спроведени финансиски истраги. Има 10 случаја со првостепени решенија за конфискација на имот (автомобили, пари, мобилни телефони). Во тек се 15 судски постапки. Во 2021 година, од сите инстанции се донесени 173 пресуди за организиран криминал. </w:t>
      </w:r>
    </w:p>
    <w:p w14:paraId="4292681B" w14:textId="463B1D56" w:rsidR="00A50BBD" w:rsidRPr="00865EBC" w:rsidRDefault="00A50BBD" w:rsidP="00705B41">
      <w:pPr>
        <w:jc w:val="both"/>
        <w:rPr>
          <w:rFonts w:ascii="Times New Roman" w:hAnsi="Times New Roman" w:cs="Times New Roman"/>
          <w:noProof/>
          <w:sz w:val="24"/>
          <w:szCs w:val="24"/>
        </w:rPr>
      </w:pPr>
      <w:r w:rsidRPr="00865EBC">
        <w:rPr>
          <w:rFonts w:ascii="Times New Roman" w:hAnsi="Times New Roman" w:cs="Times New Roman"/>
          <w:sz w:val="24"/>
        </w:rPr>
        <w:t xml:space="preserve">Се спроведува </w:t>
      </w:r>
      <w:r w:rsidRPr="00865EBC">
        <w:rPr>
          <w:rFonts w:ascii="Times New Roman" w:hAnsi="Times New Roman" w:cs="Times New Roman"/>
          <w:b/>
          <w:bCs/>
          <w:sz w:val="24"/>
        </w:rPr>
        <w:t>механизмот за надворешен надзор</w:t>
      </w:r>
      <w:r w:rsidRPr="00865EBC">
        <w:rPr>
          <w:rFonts w:ascii="Times New Roman" w:hAnsi="Times New Roman" w:cs="Times New Roman"/>
          <w:sz w:val="24"/>
        </w:rPr>
        <w:t xml:space="preserve">. </w:t>
      </w:r>
      <w:r>
        <w:rPr>
          <w:rFonts w:ascii="Times New Roman" w:hAnsi="Times New Roman" w:cs="Times New Roman"/>
          <w:sz w:val="24"/>
        </w:rPr>
        <w:t>Специјализираното</w:t>
      </w:r>
      <w:r w:rsidRPr="00865EBC">
        <w:rPr>
          <w:rFonts w:ascii="Times New Roman" w:hAnsi="Times New Roman" w:cs="Times New Roman"/>
          <w:sz w:val="24"/>
        </w:rPr>
        <w:t xml:space="preserve"> оддел</w:t>
      </w:r>
      <w:r>
        <w:rPr>
          <w:rFonts w:ascii="Times New Roman" w:hAnsi="Times New Roman" w:cs="Times New Roman"/>
          <w:sz w:val="24"/>
        </w:rPr>
        <w:t>ение</w:t>
      </w:r>
      <w:r w:rsidRPr="00865EBC">
        <w:rPr>
          <w:rFonts w:ascii="Times New Roman" w:hAnsi="Times New Roman" w:cs="Times New Roman"/>
          <w:sz w:val="24"/>
        </w:rPr>
        <w:t xml:space="preserve"> за гонење кривични дела сторени од лица со полициски овластувања и припадници на затворската полиција, дел од Јавното обвинителство, има само двајца истражители. </w:t>
      </w:r>
      <w:r>
        <w:rPr>
          <w:rFonts w:ascii="Times New Roman" w:hAnsi="Times New Roman" w:cs="Times New Roman"/>
          <w:sz w:val="24"/>
        </w:rPr>
        <w:t>Одделението</w:t>
      </w:r>
      <w:r w:rsidRPr="00865EBC">
        <w:rPr>
          <w:rFonts w:ascii="Times New Roman" w:hAnsi="Times New Roman" w:cs="Times New Roman"/>
          <w:sz w:val="24"/>
        </w:rPr>
        <w:t xml:space="preserve"> примил</w:t>
      </w:r>
      <w:r>
        <w:rPr>
          <w:rFonts w:ascii="Times New Roman" w:hAnsi="Times New Roman" w:cs="Times New Roman"/>
          <w:sz w:val="24"/>
        </w:rPr>
        <w:t>о</w:t>
      </w:r>
      <w:r w:rsidRPr="00865EBC">
        <w:rPr>
          <w:rFonts w:ascii="Times New Roman" w:hAnsi="Times New Roman" w:cs="Times New Roman"/>
          <w:sz w:val="24"/>
        </w:rPr>
        <w:t xml:space="preserve"> пријави за претерана употреба на сила од службениците за спроведување на законот против 135 лица. Водени се истражни постапки против 31 лице, а донесени се пресуди против 18 лица.</w:t>
      </w:r>
    </w:p>
    <w:p w14:paraId="05B0BC6A"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Националниот координативен центар за борба против организиран криминал е оперативен, но треба да го подобри својот оперативен капацитет. Неговата активност придонесе за скратување на времето на размена на податоци и информации за потребите на вклучените институции; споделување информации меѓу институциите според начелото „потребно е да се знае“; координација меѓу институциите во случаи кога има барање за податоци и информации за исто таргетирано физичко или правно лице; како и поддршка за меѓународна размена на информации, особено во делот на меѓународната полициска соработка, која е важен сегмент во борбата против организираниот и сериозен криминал. Сите органи учесници имаат пристап до нивните бази на податоци, и сите имаат именувано свој претставник.</w:t>
      </w:r>
    </w:p>
    <w:p w14:paraId="6838D17F"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Основното јавно обвинителство за </w:t>
      </w:r>
      <w:r>
        <w:rPr>
          <w:rFonts w:ascii="Times New Roman" w:hAnsi="Times New Roman" w:cs="Times New Roman"/>
          <w:sz w:val="24"/>
        </w:rPr>
        <w:t xml:space="preserve">гонење на </w:t>
      </w:r>
      <w:r w:rsidRPr="00865EBC">
        <w:rPr>
          <w:rFonts w:ascii="Times New Roman" w:hAnsi="Times New Roman" w:cs="Times New Roman"/>
          <w:sz w:val="24"/>
        </w:rPr>
        <w:t>организиран криминал и корупција располага со недоволни човечки ресурси и нема финансиски средства за стручни служби. Потребна е специјализација во рамките на Обвинителството, како и проактивен пристап во следењето на случаите.</w:t>
      </w:r>
    </w:p>
    <w:p w14:paraId="66C9EEAB"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Истражните центри во Основното јавно обвинителство Скопје, Куманово и Тетово и во Основното јавно обвинителство за </w:t>
      </w:r>
      <w:r>
        <w:rPr>
          <w:rFonts w:ascii="Times New Roman" w:hAnsi="Times New Roman" w:cs="Times New Roman"/>
          <w:sz w:val="24"/>
        </w:rPr>
        <w:t xml:space="preserve">гонење на </w:t>
      </w:r>
      <w:r w:rsidRPr="00865EBC">
        <w:rPr>
          <w:rFonts w:ascii="Times New Roman" w:hAnsi="Times New Roman" w:cs="Times New Roman"/>
          <w:sz w:val="24"/>
        </w:rPr>
        <w:t>организиран криминал и корупција функционираат, но сè уште немаат доволно човечки и финансиски ресурси и соодветна опрема за правилно работење. Овие истражни центри сè уште ги немаат постигнато своите цели за зголемување на ефикасноста на истрагите и подобрување на координацијата меѓу обвинителите, полицијата и другите релевантни органи.</w:t>
      </w:r>
    </w:p>
    <w:p w14:paraId="6BD607C9"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Земјата е вклучена во активности за </w:t>
      </w:r>
      <w:r w:rsidRPr="00865EBC">
        <w:rPr>
          <w:rFonts w:ascii="Times New Roman" w:hAnsi="Times New Roman" w:cs="Times New Roman"/>
          <w:b/>
          <w:bCs/>
          <w:sz w:val="24"/>
        </w:rPr>
        <w:t>меѓународна полициска соработка</w:t>
      </w:r>
      <w:r w:rsidRPr="00865EBC">
        <w:rPr>
          <w:rFonts w:ascii="Times New Roman" w:hAnsi="Times New Roman" w:cs="Times New Roman"/>
          <w:sz w:val="24"/>
        </w:rPr>
        <w:t xml:space="preserve"> преку главните канали за соработка. Соработката со Европол се одвива добро по склучувањето на Стратешкиот договор во 2007 и Оперативниот договор во 2011 </w:t>
      </w:r>
      <w:r w:rsidRPr="00865EBC">
        <w:rPr>
          <w:rFonts w:ascii="Times New Roman" w:hAnsi="Times New Roman" w:cs="Times New Roman"/>
          <w:sz w:val="24"/>
        </w:rPr>
        <w:lastRenderedPageBreak/>
        <w:t>година. Постои оперативна соработка во борбата против трговијата со луѓе, оружје и дрога. Воспоставена е мрежа за безбедна размена на информации (СИЕНА).</w:t>
      </w:r>
    </w:p>
    <w:p w14:paraId="0CF598EB" w14:textId="64E14195" w:rsidR="00A50BBD" w:rsidRPr="00865EBC" w:rsidRDefault="00A50BBD" w:rsidP="006E4EB0">
      <w:pPr>
        <w:jc w:val="both"/>
        <w:rPr>
          <w:rFonts w:ascii="Times New Roman" w:eastAsia="Calibri" w:hAnsi="Times New Roman" w:cs="Times New Roman"/>
          <w:noProof/>
          <w:sz w:val="24"/>
          <w:szCs w:val="24"/>
        </w:rPr>
      </w:pPr>
      <w:r w:rsidRPr="00865EBC">
        <w:rPr>
          <w:rFonts w:ascii="Times New Roman" w:hAnsi="Times New Roman" w:cs="Times New Roman"/>
          <w:sz w:val="24"/>
          <w:shd w:val="clear" w:color="auto" w:fill="FFFFFF"/>
        </w:rPr>
        <w:t xml:space="preserve">Северна Македонија продолжи да соработува со полициските служби на ЕУ преку </w:t>
      </w:r>
      <w:r w:rsidRPr="00865EBC">
        <w:rPr>
          <w:rFonts w:ascii="Times New Roman" w:hAnsi="Times New Roman" w:cs="Times New Roman"/>
          <w:sz w:val="24"/>
        </w:rPr>
        <w:t xml:space="preserve">Европската мрежа на </w:t>
      </w:r>
      <w:r>
        <w:rPr>
          <w:rFonts w:ascii="Times New Roman" w:hAnsi="Times New Roman" w:cs="Times New Roman"/>
          <w:sz w:val="24"/>
        </w:rPr>
        <w:t xml:space="preserve">ФАТ </w:t>
      </w:r>
      <w:r w:rsidRPr="00865EBC">
        <w:rPr>
          <w:rFonts w:ascii="Times New Roman" w:hAnsi="Times New Roman" w:cs="Times New Roman"/>
          <w:sz w:val="24"/>
        </w:rPr>
        <w:t xml:space="preserve">тимови за активна </w:t>
      </w:r>
      <w:r>
        <w:rPr>
          <w:rFonts w:ascii="Times New Roman" w:hAnsi="Times New Roman" w:cs="Times New Roman"/>
          <w:sz w:val="24"/>
        </w:rPr>
        <w:t>меѓунар</w:t>
      </w:r>
      <w:r w:rsidR="006E4EB0">
        <w:rPr>
          <w:rFonts w:ascii="Times New Roman" w:hAnsi="Times New Roman" w:cs="Times New Roman"/>
          <w:sz w:val="24"/>
        </w:rPr>
        <w:t>о</w:t>
      </w:r>
      <w:r>
        <w:rPr>
          <w:rFonts w:ascii="Times New Roman" w:hAnsi="Times New Roman" w:cs="Times New Roman"/>
          <w:sz w:val="24"/>
        </w:rPr>
        <w:t xml:space="preserve">дна </w:t>
      </w:r>
      <w:r w:rsidRPr="00865EBC">
        <w:rPr>
          <w:rFonts w:ascii="Times New Roman" w:hAnsi="Times New Roman" w:cs="Times New Roman"/>
          <w:sz w:val="24"/>
        </w:rPr>
        <w:t xml:space="preserve">потрага по </w:t>
      </w:r>
      <w:r>
        <w:rPr>
          <w:rFonts w:ascii="Times New Roman" w:hAnsi="Times New Roman" w:cs="Times New Roman"/>
          <w:sz w:val="24"/>
        </w:rPr>
        <w:t>лица</w:t>
      </w:r>
      <w:r w:rsidRPr="00865EBC">
        <w:rPr>
          <w:rFonts w:ascii="Times New Roman" w:hAnsi="Times New Roman" w:cs="Times New Roman"/>
          <w:sz w:val="24"/>
        </w:rPr>
        <w:t xml:space="preserve"> (ЕНФАСТ), во која има статус </w:t>
      </w:r>
      <w:r w:rsidRPr="00865EBC">
        <w:rPr>
          <w:rFonts w:ascii="Times New Roman" w:hAnsi="Times New Roman" w:cs="Times New Roman"/>
          <w:sz w:val="24"/>
          <w:shd w:val="clear" w:color="auto" w:fill="FFFFFF"/>
        </w:rPr>
        <w:t xml:space="preserve">на набљудувач. Земјата учествува и </w:t>
      </w:r>
      <w:r w:rsidRPr="00865EBC">
        <w:rPr>
          <w:rFonts w:ascii="Times New Roman" w:hAnsi="Times New Roman" w:cs="Times New Roman"/>
          <w:sz w:val="24"/>
        </w:rPr>
        <w:t>во ЕМПАКТ (Европската мултидисциплинарна платформа против криминални закани). Во 2022 година, Северна Македонија се обврза да учествува во 26 оперативни акции во девет од 15-те оперативни акциски планови на ЕМПАКТ (ОАП), вклучително и како ководач за една оперативна акција. Во 2021 година, Северна Македонија учествуваше во 32 оперативни акции на ЕМПАКТ. Северна Македонија назначи Национален координатор за ЕМПАКТ.</w:t>
      </w:r>
    </w:p>
    <w:p w14:paraId="44F81C41" w14:textId="77777777" w:rsidR="00A50BBD" w:rsidRPr="00865EBC" w:rsidRDefault="00A50BBD" w:rsidP="006E4EB0">
      <w:pPr>
        <w:jc w:val="both"/>
        <w:rPr>
          <w:rFonts w:ascii="Times New Roman" w:eastAsia="Calibri" w:hAnsi="Times New Roman" w:cs="Times New Roman"/>
          <w:noProof/>
          <w:sz w:val="24"/>
          <w:szCs w:val="24"/>
        </w:rPr>
      </w:pPr>
      <w:r w:rsidRPr="00865EBC">
        <w:rPr>
          <w:rFonts w:ascii="Times New Roman" w:hAnsi="Times New Roman" w:cs="Times New Roman"/>
          <w:sz w:val="24"/>
        </w:rPr>
        <w:t>Земјата продолжи активно да учествува во заедничките акциски денови на ЕМПАКТ (ЗАД), како што се ЗАД за Југоисточна Европа 2021 (промовирање поблиска соработка во работата против трговијата со огнено оружје, криумчарењето мигранти и трговијата со дрога), ЗАД Мобиле 4 (целејќи кон различни модалитети на криминал со моторни возила, вклучително и криумчарење украдени возила преку надворешните граници, делови од возила, како и придружна измама со документи) и ЗАД Дунав 6 (фокусирани на борба против криумчарење мигранти, борба против трговија со луѓе и измама со документи).</w:t>
      </w:r>
    </w:p>
    <w:p w14:paraId="7D60BBE2" w14:textId="359C42EC" w:rsidR="00A50BBD" w:rsidRPr="00865EBC" w:rsidRDefault="00A50BBD" w:rsidP="006E4EB0">
      <w:pPr>
        <w:jc w:val="both"/>
        <w:rPr>
          <w:rFonts w:ascii="Times New Roman" w:eastAsia="Calibri" w:hAnsi="Times New Roman" w:cs="Times New Roman"/>
          <w:noProof/>
          <w:sz w:val="24"/>
          <w:szCs w:val="24"/>
        </w:rPr>
      </w:pPr>
      <w:r w:rsidRPr="00865EBC">
        <w:rPr>
          <w:rFonts w:ascii="Times New Roman" w:hAnsi="Times New Roman" w:cs="Times New Roman"/>
          <w:sz w:val="24"/>
        </w:rPr>
        <w:t>Националната процен</w:t>
      </w:r>
      <w:r>
        <w:rPr>
          <w:rFonts w:ascii="Times New Roman" w:hAnsi="Times New Roman" w:cs="Times New Roman"/>
          <w:sz w:val="24"/>
          <w:lang w:val="en-US"/>
        </w:rPr>
        <w:t>к</w:t>
      </w:r>
      <w:r w:rsidRPr="00865EBC">
        <w:rPr>
          <w:rFonts w:ascii="Times New Roman" w:hAnsi="Times New Roman" w:cs="Times New Roman"/>
          <w:sz w:val="24"/>
        </w:rPr>
        <w:t xml:space="preserve">а </w:t>
      </w:r>
      <w:r>
        <w:rPr>
          <w:rFonts w:ascii="Times New Roman" w:hAnsi="Times New Roman" w:cs="Times New Roman"/>
          <w:sz w:val="24"/>
        </w:rPr>
        <w:t>на</w:t>
      </w:r>
      <w:r w:rsidRPr="00865EBC">
        <w:rPr>
          <w:rFonts w:ascii="Times New Roman" w:hAnsi="Times New Roman" w:cs="Times New Roman"/>
          <w:sz w:val="24"/>
        </w:rPr>
        <w:t xml:space="preserve"> закана од </w:t>
      </w:r>
      <w:r>
        <w:rPr>
          <w:rFonts w:ascii="Times New Roman" w:hAnsi="Times New Roman" w:cs="Times New Roman"/>
          <w:sz w:val="24"/>
        </w:rPr>
        <w:t xml:space="preserve">организиран и </w:t>
      </w:r>
      <w:r w:rsidRPr="00865EBC">
        <w:rPr>
          <w:rFonts w:ascii="Times New Roman" w:hAnsi="Times New Roman" w:cs="Times New Roman"/>
          <w:sz w:val="24"/>
        </w:rPr>
        <w:t xml:space="preserve">сериозен криминал е донесена на 15 декември 2021 година во согласност со циклусот на ЕМПАКТ од политиките на ЕВРОПОЛ за 2022 </w:t>
      </w:r>
      <w:r w:rsidRPr="00865EBC">
        <w:rPr>
          <w:rFonts w:ascii="Times New Roman" w:hAnsi="Times New Roman" w:cs="Times New Roman"/>
          <w:i/>
          <w:iCs/>
          <w:sz w:val="24"/>
        </w:rPr>
        <w:t xml:space="preserve">– </w:t>
      </w:r>
      <w:r w:rsidRPr="00865EBC">
        <w:rPr>
          <w:rFonts w:ascii="Times New Roman" w:hAnsi="Times New Roman" w:cs="Times New Roman"/>
          <w:sz w:val="24"/>
        </w:rPr>
        <w:t>2025 година.</w:t>
      </w:r>
    </w:p>
    <w:p w14:paraId="0314B7E1"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Соработката на земјата и Агенцијата на ЕУ за обуки за спроведување на законот (ЦЕПОЛ) е добро воспоставена и заснована на работен договор. Воспоставена е наменска контактна точка. Северна Македонија има целосен пристап до Програмата за размена на ЦЕПОЛ.</w:t>
      </w:r>
    </w:p>
    <w:p w14:paraId="4CDEE012"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Конфискувањето криминален имот не е доволно применувано во кривичната постапка, со само четири случаја на конфискација на имот во 2021 година. </w:t>
      </w:r>
      <w:r w:rsidRPr="00865EBC">
        <w:rPr>
          <w:rFonts w:ascii="Times New Roman" w:hAnsi="Times New Roman" w:cs="Times New Roman"/>
          <w:b/>
          <w:bCs/>
          <w:sz w:val="24"/>
        </w:rPr>
        <w:t xml:space="preserve">Конфискувањето криминални средства </w:t>
      </w:r>
      <w:r w:rsidRPr="00865EBC">
        <w:rPr>
          <w:rFonts w:ascii="Times New Roman" w:hAnsi="Times New Roman" w:cs="Times New Roman"/>
          <w:sz w:val="24"/>
        </w:rPr>
        <w:t>треба да стане стратегиски приоритет во борбата против организираниот криминал, тероризмот и корупцијата на високо ниво во земјата.</w:t>
      </w:r>
    </w:p>
    <w:p w14:paraId="1D46E843"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Во поглед на </w:t>
      </w:r>
      <w:r w:rsidRPr="00865EBC">
        <w:rPr>
          <w:rFonts w:ascii="Times New Roman" w:hAnsi="Times New Roman" w:cs="Times New Roman"/>
          <w:b/>
          <w:bCs/>
          <w:sz w:val="24"/>
        </w:rPr>
        <w:t>мало и лесно оружје</w:t>
      </w:r>
      <w:r w:rsidRPr="00865EBC">
        <w:rPr>
          <w:rFonts w:ascii="Times New Roman" w:hAnsi="Times New Roman" w:cs="Times New Roman"/>
          <w:sz w:val="24"/>
        </w:rPr>
        <w:t>, има видливи резултати со запленети 328 парчиња огнено оружје во 2021 година. Во истата година, откриени се 178 кривични дела на нелегално производство, поседување и трговија со оружје, за што кривично се казнети 195 извршители.</w:t>
      </w:r>
    </w:p>
    <w:p w14:paraId="44491507"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Во однос на </w:t>
      </w:r>
      <w:r w:rsidRPr="00865EBC">
        <w:rPr>
          <w:rFonts w:ascii="Times New Roman" w:hAnsi="Times New Roman" w:cs="Times New Roman"/>
          <w:b/>
          <w:bCs/>
          <w:sz w:val="24"/>
        </w:rPr>
        <w:t>сајбер криминалот</w:t>
      </w:r>
      <w:r w:rsidRPr="00865EBC">
        <w:rPr>
          <w:rFonts w:ascii="Times New Roman" w:hAnsi="Times New Roman" w:cs="Times New Roman"/>
          <w:sz w:val="24"/>
        </w:rPr>
        <w:t>, единицата за справување со сајбер инциденти и Министерството за внатрешни работи (Сектор за сајбер криминал) се обврзани да разменуваат податоци за сајбер инциденти и сајбер криминал во согласност со Кривичниот законик. Статистиката за сајбер криминал (статистика за кривична правда) ја објавува Министерството за внатрешни работи на годишно ниво. Постои зголемување на откривањето инциденти за 5,6 %, со откриени вкупно 169 компјутерски злосторства. Бројот на евидентирани кривични случаи на сексуално искористување деца на интернет е зголемен за 37,5 % на 11 случаи.</w:t>
      </w:r>
    </w:p>
    <w:p w14:paraId="42B87A58"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lastRenderedPageBreak/>
        <w:t>Напорите во клучните области на спроведувањето на активностите во рамките на целите поврзани со Западен Балкан во Акцискиот план на ЕУ за трговија со огнено оружје</w:t>
      </w:r>
      <w:r w:rsidRPr="00865EBC">
        <w:rPr>
          <w:rFonts w:ascii="Times New Roman" w:eastAsia="Times New Roman" w:hAnsi="Times New Roman" w:cs="Times New Roman"/>
          <w:bCs/>
          <w:noProof/>
          <w:sz w:val="24"/>
          <w:szCs w:val="24"/>
          <w:vertAlign w:val="superscript"/>
          <w:lang w:eastAsia="en-GB"/>
        </w:rPr>
        <w:footnoteReference w:id="11"/>
      </w:r>
      <w:r w:rsidRPr="00865EBC">
        <w:rPr>
          <w:rFonts w:ascii="Times New Roman" w:hAnsi="Times New Roman" w:cs="Times New Roman"/>
          <w:sz w:val="24"/>
        </w:rPr>
        <w:t xml:space="preserve">, кои опфаќаат усогласување на законодавството со </w:t>
      </w:r>
      <w:r w:rsidRPr="00865EBC">
        <w:rPr>
          <w:rFonts w:ascii="Times New Roman" w:hAnsi="Times New Roman" w:cs="Times New Roman"/>
          <w:i/>
          <w:iCs/>
          <w:sz w:val="24"/>
        </w:rPr>
        <w:t>правото</w:t>
      </w:r>
      <w:r w:rsidRPr="00865EBC">
        <w:rPr>
          <w:rFonts w:ascii="Times New Roman" w:hAnsi="Times New Roman" w:cs="Times New Roman"/>
          <w:sz w:val="24"/>
        </w:rPr>
        <w:t xml:space="preserve"> на ЕУ, изготвување нова стратегија за мало и лесно оружје и акциски план, дефинирање нов деловник за работа на Комисијата за МЛО, како и за подобрување на капацитетите за истрага и водење евиденција. Активностите за подигање на свеста, информирање и едукација за опасностите и ризиците поврзани со злоупотреба, недозволено поседување и трговија со огнено оружје/МЛО се ограничени, како и намалување на недозволеното огнено оружје преку легализација, доброволно предавање, деактивирање и уништување.</w:t>
      </w:r>
    </w:p>
    <w:p w14:paraId="3A3A62C7" w14:textId="77777777" w:rsidR="00A50BBD" w:rsidRPr="00865EBC" w:rsidRDefault="00A50BBD" w:rsidP="006E4EB0">
      <w:pPr>
        <w:keepNext/>
        <w:jc w:val="both"/>
        <w:rPr>
          <w:rFonts w:ascii="Times New Roman" w:hAnsi="Times New Roman" w:cs="Times New Roman"/>
          <w:b/>
          <w:noProof/>
          <w:sz w:val="24"/>
          <w:szCs w:val="24"/>
        </w:rPr>
      </w:pPr>
      <w:r w:rsidRPr="00865EBC">
        <w:rPr>
          <w:rFonts w:ascii="Times New Roman" w:hAnsi="Times New Roman" w:cs="Times New Roman"/>
          <w:b/>
          <w:sz w:val="24"/>
        </w:rPr>
        <w:t>Соработка во областа на дроги</w:t>
      </w:r>
    </w:p>
    <w:p w14:paraId="6CEC39D7" w14:textId="77777777" w:rsidR="00A50BBD" w:rsidRPr="00865EBC" w:rsidRDefault="00A50BBD" w:rsidP="006E4EB0">
      <w:pPr>
        <w:keepNext/>
        <w:jc w:val="both"/>
        <w:rPr>
          <w:rFonts w:ascii="Times New Roman" w:eastAsia="Times New Roman" w:hAnsi="Times New Roman" w:cs="Times New Roman"/>
          <w:noProof/>
          <w:sz w:val="24"/>
          <w:szCs w:val="24"/>
          <w:u w:val="single"/>
        </w:rPr>
      </w:pPr>
      <w:r w:rsidRPr="00865EBC">
        <w:rPr>
          <w:rFonts w:ascii="Times New Roman" w:hAnsi="Times New Roman" w:cs="Times New Roman"/>
          <w:sz w:val="24"/>
          <w:u w:val="single"/>
        </w:rPr>
        <w:t>Институционална поставеност и правно усогласување</w:t>
      </w:r>
    </w:p>
    <w:p w14:paraId="3D73ED3C"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Националната опсерваторија за дроги (НОД) постои од 2007 година во состав на Министерството за здравство. Сепак, таа нема доволно персонал, поради што нејзиниот оперативен капацитет (на пример, во поглед на собирањето податоци) останува ограничен. Сè уште не постои национален систем за рано предупредување што соработува со Европскиот центар за следење на дрога и зависност од дрога за новите психоактивни супстанции и новите трендови.</w:t>
      </w:r>
    </w:p>
    <w:p w14:paraId="2360E1A7"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Националната стратегија за дроги 2021 </w:t>
      </w:r>
      <w:r w:rsidRPr="00865EBC">
        <w:rPr>
          <w:rFonts w:ascii="Times New Roman" w:hAnsi="Times New Roman" w:cs="Times New Roman"/>
          <w:i/>
          <w:iCs/>
          <w:sz w:val="24"/>
        </w:rPr>
        <w:t xml:space="preserve">– </w:t>
      </w:r>
      <w:r w:rsidRPr="00865EBC">
        <w:rPr>
          <w:rFonts w:ascii="Times New Roman" w:hAnsi="Times New Roman" w:cs="Times New Roman"/>
          <w:sz w:val="24"/>
        </w:rPr>
        <w:t xml:space="preserve">2025 и Акцискиот план 2021 </w:t>
      </w:r>
      <w:r w:rsidRPr="00865EBC">
        <w:rPr>
          <w:rFonts w:ascii="Times New Roman" w:hAnsi="Times New Roman" w:cs="Times New Roman"/>
          <w:i/>
          <w:iCs/>
          <w:sz w:val="24"/>
        </w:rPr>
        <w:t>–</w:t>
      </w:r>
      <w:r w:rsidRPr="00865EBC">
        <w:rPr>
          <w:rFonts w:ascii="Times New Roman" w:hAnsi="Times New Roman" w:cs="Times New Roman"/>
          <w:sz w:val="24"/>
        </w:rPr>
        <w:t xml:space="preserve"> 2023 се донесени во јули 2021 година. Стратегијата се заснова на човекови права, гарантирана безбедност на сите граѓани и има за цел да обезбеди квалитетни услуги од органите на државната власт, органите на единиците на локалната самоуправа, институциите и граѓанските здруженија. Треба да се обезбеди соодветно спроведување, следење и евалуација на Стратегијата.</w:t>
      </w:r>
    </w:p>
    <w:p w14:paraId="56BD88C0"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Подготвен е нов закон за контрола на опојни дроги и психотропни супстанции. Секоја промена на законот мора да е во согласност со </w:t>
      </w:r>
      <w:r w:rsidRPr="00865EBC">
        <w:rPr>
          <w:rFonts w:ascii="Times New Roman" w:hAnsi="Times New Roman" w:cs="Times New Roman"/>
          <w:i/>
          <w:iCs/>
          <w:sz w:val="24"/>
        </w:rPr>
        <w:t xml:space="preserve">правото </w:t>
      </w:r>
      <w:r w:rsidRPr="00865EBC">
        <w:rPr>
          <w:rFonts w:ascii="Times New Roman" w:hAnsi="Times New Roman" w:cs="Times New Roman"/>
          <w:sz w:val="24"/>
        </w:rPr>
        <w:t>на ЕУ и меѓународните стандарди.</w:t>
      </w:r>
    </w:p>
    <w:p w14:paraId="403419B9" w14:textId="77777777" w:rsidR="00A50BBD" w:rsidRPr="00865EBC" w:rsidRDefault="00A50BBD" w:rsidP="006E4EB0">
      <w:pPr>
        <w:keepNext/>
        <w:jc w:val="both"/>
        <w:rPr>
          <w:rFonts w:ascii="Times New Roman" w:eastAsia="Times New Roman" w:hAnsi="Times New Roman" w:cs="Times New Roman"/>
          <w:noProof/>
          <w:sz w:val="24"/>
          <w:szCs w:val="24"/>
          <w:u w:val="single"/>
        </w:rPr>
      </w:pPr>
      <w:r w:rsidRPr="00865EBC">
        <w:rPr>
          <w:rFonts w:ascii="Times New Roman" w:hAnsi="Times New Roman" w:cs="Times New Roman"/>
          <w:sz w:val="24"/>
          <w:u w:val="single"/>
        </w:rPr>
        <w:t>Капацитет за спроведување и извршување</w:t>
      </w:r>
    </w:p>
    <w:p w14:paraId="29CB9E3B"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Оперативниот капацитет на НОД е ограничен. Потребно е доволно персонал и процес на редовна соработка со релевантни засегнати страни. Потребно е да се воспостави национален систем за рано предупредување. </w:t>
      </w:r>
    </w:p>
    <w:p w14:paraId="038216FA" w14:textId="77777777" w:rsidR="00A50BBD" w:rsidRPr="00865EBC" w:rsidRDefault="00A50BBD" w:rsidP="006E4EB0">
      <w:pPr>
        <w:widowControl w:val="0"/>
        <w:jc w:val="both"/>
        <w:rPr>
          <w:rFonts w:ascii="Times New Roman" w:hAnsi="Times New Roman" w:cs="Times New Roman"/>
          <w:noProof/>
          <w:sz w:val="24"/>
          <w:szCs w:val="24"/>
        </w:rPr>
      </w:pPr>
      <w:r w:rsidRPr="00865EBC">
        <w:rPr>
          <w:rFonts w:ascii="Times New Roman" w:hAnsi="Times New Roman" w:cs="Times New Roman"/>
          <w:sz w:val="24"/>
        </w:rPr>
        <w:t xml:space="preserve">Во 2021 година беше забележано значително подобрување во спречувањето на незаконската трговија со дрога. Беа евидентирани 701 кривично дело и пријавени 840 сторители. Откриени и потиснати се 10 организирани криминални групи со 61 член, додека во првата половина на 2022 година, 9 организирани групи со 36 членови. </w:t>
      </w:r>
    </w:p>
    <w:p w14:paraId="30B82A9F" w14:textId="77777777" w:rsidR="00A50BBD" w:rsidRPr="00865EBC" w:rsidRDefault="00A50BBD" w:rsidP="006E4EB0">
      <w:pPr>
        <w:widowControl w:val="0"/>
        <w:jc w:val="both"/>
        <w:rPr>
          <w:rFonts w:ascii="Times New Roman" w:hAnsi="Times New Roman" w:cs="Times New Roman"/>
          <w:noProof/>
          <w:sz w:val="24"/>
          <w:szCs w:val="24"/>
        </w:rPr>
      </w:pPr>
      <w:r w:rsidRPr="00865EBC">
        <w:rPr>
          <w:rFonts w:ascii="Times New Roman" w:hAnsi="Times New Roman" w:cs="Times New Roman"/>
          <w:sz w:val="24"/>
        </w:rPr>
        <w:t xml:space="preserve">Министерството за внатрешни работи во 2021 година конфискувало 18.301 стебло канабис и 6.960 ml алкохолни раствори тетрахидроканабинол од правни лица со лиценца за производство на маслени екстракти од канабис за медицински цели, чии </w:t>
      </w:r>
      <w:r w:rsidRPr="00865EBC">
        <w:rPr>
          <w:rFonts w:ascii="Times New Roman" w:hAnsi="Times New Roman" w:cs="Times New Roman"/>
          <w:sz w:val="24"/>
        </w:rPr>
        <w:lastRenderedPageBreak/>
        <w:t>производствени простории и опрема биле користени за нелегално одгледување наркотична дрога – канабис и производство на маслени екстракти. Контролата врз тие субјекти од страна на органите за спроведување на законот треба да се зајакне.</w:t>
      </w:r>
    </w:p>
    <w:p w14:paraId="2447D946" w14:textId="77777777" w:rsidR="00A50BBD" w:rsidRPr="00865EBC" w:rsidRDefault="00A50BBD" w:rsidP="006E4EB0">
      <w:pPr>
        <w:widowControl w:val="0"/>
        <w:jc w:val="both"/>
        <w:rPr>
          <w:rFonts w:ascii="Times New Roman" w:hAnsi="Times New Roman" w:cs="Times New Roman"/>
          <w:noProof/>
          <w:sz w:val="24"/>
          <w:szCs w:val="24"/>
        </w:rPr>
      </w:pPr>
      <w:r w:rsidRPr="00865EBC">
        <w:rPr>
          <w:rFonts w:ascii="Times New Roman" w:hAnsi="Times New Roman" w:cs="Times New Roman"/>
          <w:sz w:val="24"/>
        </w:rPr>
        <w:t>Соработката со соседните земји е добра, вклучувајќи ги и ад хок операциите.</w:t>
      </w:r>
    </w:p>
    <w:p w14:paraId="73671F27" w14:textId="77777777" w:rsidR="00A50BBD" w:rsidRPr="00865EBC" w:rsidRDefault="00A50BBD" w:rsidP="006E4EB0">
      <w:pPr>
        <w:widowControl w:val="0"/>
        <w:jc w:val="both"/>
        <w:rPr>
          <w:rFonts w:ascii="Times New Roman" w:hAnsi="Times New Roman" w:cs="Times New Roman"/>
          <w:b/>
          <w:noProof/>
          <w:sz w:val="24"/>
          <w:szCs w:val="24"/>
        </w:rPr>
      </w:pPr>
      <w:r w:rsidRPr="00865EBC">
        <w:rPr>
          <w:rFonts w:ascii="Times New Roman" w:hAnsi="Times New Roman" w:cs="Times New Roman"/>
          <w:b/>
          <w:sz w:val="24"/>
        </w:rPr>
        <w:t>Борба против тероризам</w:t>
      </w:r>
    </w:p>
    <w:p w14:paraId="56231B5F" w14:textId="77777777" w:rsidR="00A50BBD" w:rsidRPr="00865EBC" w:rsidRDefault="00A50BBD" w:rsidP="006E4EB0">
      <w:pPr>
        <w:widowControl w:val="0"/>
        <w:jc w:val="both"/>
        <w:rPr>
          <w:rFonts w:ascii="Times New Roman" w:hAnsi="Times New Roman" w:cs="Times New Roman"/>
          <w:noProof/>
          <w:sz w:val="24"/>
          <w:szCs w:val="24"/>
          <w:u w:val="single"/>
        </w:rPr>
      </w:pPr>
      <w:r w:rsidRPr="00865EBC">
        <w:rPr>
          <w:rFonts w:ascii="Times New Roman" w:hAnsi="Times New Roman" w:cs="Times New Roman"/>
          <w:sz w:val="24"/>
          <w:u w:val="single"/>
        </w:rPr>
        <w:t>Институционална поставеност и правно усогласување</w:t>
      </w:r>
    </w:p>
    <w:p w14:paraId="1BDDDD43" w14:textId="77777777" w:rsidR="00A50BBD" w:rsidRPr="00865EBC" w:rsidRDefault="00A50BBD" w:rsidP="006E4EB0">
      <w:pPr>
        <w:widowControl w:val="0"/>
        <w:jc w:val="both"/>
        <w:rPr>
          <w:rFonts w:ascii="Times New Roman" w:hAnsi="Times New Roman" w:cs="Times New Roman"/>
          <w:noProof/>
          <w:sz w:val="24"/>
          <w:szCs w:val="24"/>
        </w:rPr>
      </w:pPr>
      <w:r w:rsidRPr="00865EBC">
        <w:rPr>
          <w:rFonts w:ascii="Times New Roman" w:hAnsi="Times New Roman" w:cs="Times New Roman"/>
          <w:sz w:val="24"/>
        </w:rPr>
        <w:t>Постои Национален координатор за борба против тероризам и спречување насилен екстремизам и двајца заменици одговорни за спречување насилен екстремизам и за борба против тероризмот.</w:t>
      </w:r>
    </w:p>
    <w:p w14:paraId="297E0D56" w14:textId="79A8C7F2"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Канцеларијата е одговорна за координирање на меѓуинституционалната соработка, во форма на Национален комитет за спречување</w:t>
      </w:r>
      <w:r>
        <w:rPr>
          <w:rFonts w:ascii="Times New Roman" w:hAnsi="Times New Roman" w:cs="Times New Roman"/>
          <w:sz w:val="24"/>
        </w:rPr>
        <w:t xml:space="preserve"> на</w:t>
      </w:r>
      <w:r w:rsidRPr="00865EBC">
        <w:rPr>
          <w:rFonts w:ascii="Times New Roman" w:hAnsi="Times New Roman" w:cs="Times New Roman"/>
          <w:sz w:val="24"/>
        </w:rPr>
        <w:t xml:space="preserve"> насилен екстремизам и борба против терориз</w:t>
      </w:r>
      <w:r w:rsidR="00FF030B">
        <w:rPr>
          <w:rFonts w:ascii="Times New Roman" w:hAnsi="Times New Roman" w:cs="Times New Roman"/>
          <w:sz w:val="24"/>
        </w:rPr>
        <w:t>а</w:t>
      </w:r>
      <w:r w:rsidRPr="00865EBC">
        <w:rPr>
          <w:rFonts w:ascii="Times New Roman" w:hAnsi="Times New Roman" w:cs="Times New Roman"/>
          <w:sz w:val="24"/>
        </w:rPr>
        <w:t>м со кој претседава Националниот координатор. Комитетот го сочинуваат претставници на клучните институции за борба против тероризмот и насилниот екстремизам. Новиот состав е именуван во ноември 2021 година.</w:t>
      </w:r>
    </w:p>
    <w:p w14:paraId="63D26658"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Одделот за сузбивање </w:t>
      </w:r>
      <w:r>
        <w:rPr>
          <w:rFonts w:ascii="Times New Roman" w:hAnsi="Times New Roman" w:cs="Times New Roman"/>
          <w:sz w:val="24"/>
        </w:rPr>
        <w:t xml:space="preserve">на </w:t>
      </w:r>
      <w:r w:rsidRPr="00865EBC">
        <w:rPr>
          <w:rFonts w:ascii="Times New Roman" w:hAnsi="Times New Roman" w:cs="Times New Roman"/>
          <w:sz w:val="24"/>
        </w:rPr>
        <w:t>организиран и сериозен криминал во рамките на Министерството за внатрешни работи е одговорен за прашања поврзани со тероризмот.</w:t>
      </w:r>
    </w:p>
    <w:p w14:paraId="19AD3076"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b/>
          <w:bCs/>
          <w:sz w:val="24"/>
        </w:rPr>
        <w:t xml:space="preserve">Правната рамка </w:t>
      </w:r>
      <w:r w:rsidRPr="00865EBC">
        <w:rPr>
          <w:rFonts w:ascii="Times New Roman" w:hAnsi="Times New Roman" w:cs="Times New Roman"/>
          <w:sz w:val="24"/>
        </w:rPr>
        <w:t xml:space="preserve">е во голема мера усогласена со </w:t>
      </w:r>
      <w:r w:rsidRPr="00865EBC">
        <w:rPr>
          <w:rFonts w:ascii="Times New Roman" w:hAnsi="Times New Roman" w:cs="Times New Roman"/>
          <w:i/>
          <w:iCs/>
          <w:sz w:val="24"/>
        </w:rPr>
        <w:t>правото</w:t>
      </w:r>
      <w:r w:rsidRPr="00865EBC">
        <w:rPr>
          <w:rFonts w:ascii="Times New Roman" w:hAnsi="Times New Roman" w:cs="Times New Roman"/>
          <w:sz w:val="24"/>
        </w:rPr>
        <w:t xml:space="preserve"> на ЕУ и меѓународните инструменти против тероризам. Сè уште не е воспоставен регистар на банкарски сметки. Законодавството за заштита на критичната инфраструктура е во подготовка.</w:t>
      </w:r>
    </w:p>
    <w:p w14:paraId="2428E753" w14:textId="79F86C9E" w:rsidR="00A50BBD" w:rsidRPr="00865EBC" w:rsidRDefault="00A50BBD" w:rsidP="006E4EB0">
      <w:pPr>
        <w:widowControl w:val="0"/>
        <w:jc w:val="both"/>
        <w:rPr>
          <w:rFonts w:ascii="Times New Roman" w:hAnsi="Times New Roman" w:cs="Times New Roman"/>
          <w:noProof/>
          <w:sz w:val="24"/>
          <w:szCs w:val="24"/>
        </w:rPr>
      </w:pPr>
      <w:r w:rsidRPr="00865EBC">
        <w:rPr>
          <w:rFonts w:ascii="Times New Roman" w:hAnsi="Times New Roman" w:cs="Times New Roman"/>
          <w:sz w:val="24"/>
        </w:rPr>
        <w:t xml:space="preserve">Националната </w:t>
      </w:r>
      <w:r w:rsidRPr="00865EBC">
        <w:rPr>
          <w:rFonts w:ascii="Times New Roman" w:hAnsi="Times New Roman" w:cs="Times New Roman"/>
          <w:b/>
          <w:bCs/>
          <w:sz w:val="24"/>
        </w:rPr>
        <w:t>стратегија</w:t>
      </w:r>
      <w:r w:rsidRPr="00865EBC">
        <w:rPr>
          <w:rFonts w:ascii="Times New Roman" w:hAnsi="Times New Roman" w:cs="Times New Roman"/>
          <w:sz w:val="24"/>
        </w:rPr>
        <w:t xml:space="preserve"> за борба против тероризм</w:t>
      </w:r>
      <w:r w:rsidR="00ED4D63">
        <w:rPr>
          <w:rFonts w:ascii="Times New Roman" w:hAnsi="Times New Roman" w:cs="Times New Roman"/>
          <w:sz w:val="24"/>
        </w:rPr>
        <w:t>от</w:t>
      </w:r>
      <w:r w:rsidRPr="00865EBC">
        <w:rPr>
          <w:rFonts w:ascii="Times New Roman" w:hAnsi="Times New Roman" w:cs="Times New Roman"/>
          <w:sz w:val="24"/>
        </w:rPr>
        <w:t xml:space="preserve"> (2018 </w:t>
      </w:r>
      <w:r w:rsidRPr="00865EBC">
        <w:rPr>
          <w:rFonts w:ascii="Times New Roman" w:hAnsi="Times New Roman" w:cs="Times New Roman"/>
          <w:i/>
          <w:iCs/>
          <w:sz w:val="24"/>
        </w:rPr>
        <w:t xml:space="preserve">– </w:t>
      </w:r>
      <w:r w:rsidRPr="00865EBC">
        <w:rPr>
          <w:rFonts w:ascii="Times New Roman" w:hAnsi="Times New Roman" w:cs="Times New Roman"/>
          <w:sz w:val="24"/>
        </w:rPr>
        <w:t xml:space="preserve">2022) и Стратегијата за борба против насилниот екстремизам (2018 </w:t>
      </w:r>
      <w:r w:rsidRPr="00865EBC">
        <w:rPr>
          <w:rFonts w:ascii="Times New Roman" w:hAnsi="Times New Roman" w:cs="Times New Roman"/>
          <w:i/>
          <w:iCs/>
          <w:sz w:val="24"/>
        </w:rPr>
        <w:t xml:space="preserve">– </w:t>
      </w:r>
      <w:r w:rsidRPr="00865EBC">
        <w:rPr>
          <w:rFonts w:ascii="Times New Roman" w:hAnsi="Times New Roman" w:cs="Times New Roman"/>
          <w:sz w:val="24"/>
        </w:rPr>
        <w:t>2022) и поврзаните акциски планови истекуваат на крајот на 2022 година. Започна изработката на новите стратегиски документи, а тие треба да се усогласат со политиката на ЕУ и клучните начела за спречување и борба против насилен екстремизам (С-БПНЕ), по евалуација и во консултација со релевантните засегнати страни и да се донесат.</w:t>
      </w:r>
    </w:p>
    <w:p w14:paraId="503F276E" w14:textId="74DEE0BD" w:rsidR="00A50BBD" w:rsidRPr="00865EBC" w:rsidRDefault="00A50BBD" w:rsidP="006E4EB0">
      <w:pPr>
        <w:widowControl w:val="0"/>
        <w:jc w:val="both"/>
        <w:rPr>
          <w:rFonts w:ascii="Times New Roman" w:hAnsi="Times New Roman" w:cs="Times New Roman"/>
          <w:noProof/>
          <w:sz w:val="24"/>
          <w:szCs w:val="24"/>
        </w:rPr>
      </w:pPr>
      <w:r w:rsidRPr="00865EBC">
        <w:rPr>
          <w:rFonts w:ascii="Times New Roman" w:hAnsi="Times New Roman" w:cs="Times New Roman"/>
          <w:sz w:val="24"/>
        </w:rPr>
        <w:t xml:space="preserve">Продолжи да се спроведува Националниот план за реинтеграција, ресоцијализација и рехабилитација на </w:t>
      </w:r>
      <w:r>
        <w:rPr>
          <w:rFonts w:ascii="Times New Roman" w:hAnsi="Times New Roman" w:cs="Times New Roman"/>
          <w:sz w:val="24"/>
        </w:rPr>
        <w:t>повратници</w:t>
      </w:r>
      <w:r w:rsidRPr="00865EBC">
        <w:rPr>
          <w:rFonts w:ascii="Times New Roman" w:hAnsi="Times New Roman" w:cs="Times New Roman"/>
          <w:sz w:val="24"/>
        </w:rPr>
        <w:t xml:space="preserve"> </w:t>
      </w:r>
      <w:r>
        <w:rPr>
          <w:rFonts w:ascii="Times New Roman" w:hAnsi="Times New Roman" w:cs="Times New Roman"/>
          <w:sz w:val="24"/>
        </w:rPr>
        <w:t>од странски војски и членови на нивните семејства</w:t>
      </w:r>
      <w:r w:rsidRPr="00865EBC">
        <w:rPr>
          <w:rFonts w:ascii="Times New Roman" w:hAnsi="Times New Roman" w:cs="Times New Roman"/>
          <w:sz w:val="24"/>
        </w:rPr>
        <w:t xml:space="preserve"> (жени и деца). Потребен е дополнителен напредок за да се развие единствен и севкупен пристап во работата со странските терористички борци и нивните семејства.</w:t>
      </w:r>
    </w:p>
    <w:p w14:paraId="21D87D5B"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Спроведувањето на билатералниот договор за спроведување на Заедничкиот акциски план за борба против тероризмот за Западен Балкан напредува добро и страните се согласни да го ажурираат договорот. Северна Македонија го достави својот четврт привремен извештај во март 2022 година. Потребни се дополнителни напори за да се реализираат преостанатите активности предвидени во договорот.</w:t>
      </w:r>
    </w:p>
    <w:p w14:paraId="094DD019"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Капацитет за спроведување и извршување</w:t>
      </w:r>
    </w:p>
    <w:p w14:paraId="0934FFDD"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Во моментов има 9 странски терористички борци во затвор. Ниту еден затвореник не е ослободен во 2021 година, а две лица се ослободени во првата половина на 2022 година.</w:t>
      </w:r>
    </w:p>
    <w:p w14:paraId="51487E47"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lastRenderedPageBreak/>
        <w:t>Од 2012 година, 143 граѓани на земјата заминале во конфликтните зони: од нив 69 се вратиле, 38 биле убиени. Има 5 активни борци во конфликтните зони. Во 2021 и 2022 година не се евидентирани заминувања во конфликтна зона.</w:t>
      </w:r>
    </w:p>
    <w:p w14:paraId="65213E16"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Воспоставени се локални механизми за спречување и борба против насилниот екстремизам. Активни тимови на заедницата се формирани во четирите најчувствителни општини (Чаир, Гостивар, Кичево и Куманово), кои изготвија свои акциски планови.</w:t>
      </w:r>
    </w:p>
    <w:p w14:paraId="4757B918"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Беа вложени напори за воспоставување структури и механизми што ќе работат на реинтеграцијата на локално ниво со пристап за целото општество и вклучување на граѓанското општество. Формирани се девет локални мултидисциплинарни тимови во Скопје, Тетово, Куманово, Гостивар, Охрид, Струга, Кичево, Пласница и Македонски Брод со цел да им дадат поддршка на повратниците и нивните семејства и тие започнуваат со свои активности. Потребна е координација меѓу различните органи формирани на локално ниво, како и да се овозможи нивна целосна оперативност. Потребно е разјаснување на надлежностите, задачите и одговорностите помеѓу локално и централно ниво на С-БПНЕ.</w:t>
      </w:r>
    </w:p>
    <w:p w14:paraId="0B64A52A"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color w:val="000000" w:themeColor="text1"/>
          <w:sz w:val="24"/>
        </w:rPr>
        <w:t>Радикализацијата во затворите останува загрижувачка и потребни се повеќе активности во тој поглед.</w:t>
      </w:r>
    </w:p>
    <w:p w14:paraId="2F20EEC3" w14:textId="77777777" w:rsidR="00A50BBD" w:rsidRPr="00865EBC" w:rsidRDefault="00A50BBD" w:rsidP="006E4EB0">
      <w:pPr>
        <w:keepNext/>
        <w:jc w:val="both"/>
        <w:rPr>
          <w:rFonts w:ascii="Times New Roman" w:hAnsi="Times New Roman" w:cs="Times New Roman"/>
          <w:b/>
          <w:noProof/>
          <w:sz w:val="24"/>
          <w:szCs w:val="24"/>
        </w:rPr>
      </w:pPr>
      <w:r w:rsidRPr="00865EBC">
        <w:rPr>
          <w:rFonts w:ascii="Times New Roman" w:hAnsi="Times New Roman" w:cs="Times New Roman"/>
          <w:b/>
          <w:sz w:val="24"/>
        </w:rPr>
        <w:t>Судска соработка во граѓански и кривични предмети</w:t>
      </w:r>
    </w:p>
    <w:p w14:paraId="1D7472A7"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Обвинителот за врска со ЕВРОПРАВДА ги олесни тековните истраги за сериозен, прекуграничен, организиран криминал, тероризам, со оглед на зголемениот број случаи поврзани со Западен Балкан.</w:t>
      </w:r>
    </w:p>
    <w:p w14:paraId="175F32E8"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Напредокот беше ограничен во однос на правната рамка за соработка во граѓански и кривични предмети. Со Косово е склучен Договор за меѓусебна правна помош во граѓански предмети. Северна Македонија треба да ги ратификува четирите Хашки конвенции што веќе ги има потпишано. Во 2021 година, имаше 856 дојдовни и 233 појдовни барања за меѓусебна правна помош во граѓански предмети. Вработените во одделот за меѓународна правна помош присуствуваа на работилница за примена на Хашките конвенции.</w:t>
      </w:r>
    </w:p>
    <w:p w14:paraId="3A30B7A3"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Имаше 429 дојдовни и 141 појдовни барања за меѓусебна правна помош за кривични предмети. Во 2021 година, земјата ниту издаде, ниту прими барања за трансфер на осудени државјани вратени во земјата на потекло или барања за екстрадиција.</w:t>
      </w:r>
    </w:p>
    <w:p w14:paraId="7A01BB62" w14:textId="77777777" w:rsidR="00A50BBD" w:rsidRPr="00865EBC" w:rsidRDefault="00A50BBD" w:rsidP="006E4EB0">
      <w:pPr>
        <w:jc w:val="both"/>
        <w:rPr>
          <w:rFonts w:ascii="Times New Roman" w:hAnsi="Times New Roman" w:cs="Times New Roman"/>
          <w:noProof/>
          <w:sz w:val="24"/>
          <w:szCs w:val="24"/>
          <w:highlight w:val="green"/>
        </w:rPr>
      </w:pPr>
      <w:r w:rsidRPr="00865EBC">
        <w:rPr>
          <w:rFonts w:ascii="Times New Roman" w:hAnsi="Times New Roman" w:cs="Times New Roman"/>
          <w:sz w:val="24"/>
        </w:rPr>
        <w:t>Вработените во Одделението за меѓусебна правна помош посетуваа курсеви по англиски јазик. Еден од вработените во одделението за кривични предмети е контакт точка на ЕВРОПРАВДА, а друг е контакт точка на Европската судска мрежа (ЕСМ). Земјата назначи обвинител за врска за ЕВРОПРАВДА, кој работи само со скратено работно време. Земјата учествуваше во 32 нови случаја на ЕВРОПРАВДА, повеќето од нив се однесуваат на организиран криминал со имот, перење пари, тероризам и измама. Преземени се чекори за воспоставување соработка со Канцеларијата на европскиот јавен обвинител (ЕППО).</w:t>
      </w:r>
    </w:p>
    <w:p w14:paraId="2F7E9045" w14:textId="77777777" w:rsidR="00A50BBD" w:rsidRPr="00865EBC" w:rsidRDefault="00A50BBD" w:rsidP="006E4EB0">
      <w:pPr>
        <w:keepNext/>
        <w:jc w:val="both"/>
        <w:rPr>
          <w:rFonts w:ascii="Times New Roman" w:hAnsi="Times New Roman" w:cs="Times New Roman"/>
          <w:b/>
          <w:noProof/>
          <w:sz w:val="24"/>
          <w:szCs w:val="24"/>
        </w:rPr>
      </w:pPr>
      <w:r w:rsidRPr="00865EBC">
        <w:rPr>
          <w:rFonts w:ascii="Times New Roman" w:hAnsi="Times New Roman" w:cs="Times New Roman"/>
          <w:b/>
          <w:sz w:val="24"/>
        </w:rPr>
        <w:lastRenderedPageBreak/>
        <w:t>Легална и нерегуларна миграција</w:t>
      </w:r>
    </w:p>
    <w:p w14:paraId="25716FAD"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Институционална поставеност и правно усогласување</w:t>
      </w:r>
    </w:p>
    <w:p w14:paraId="0BD5F3B4" w14:textId="09DD187C"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Правната рамка е во голема мера во согласност со стандардите на ЕУ. Кризната состојба на границите на земјата беше продолжена до крајот на 2022 година, со што се дозволи продолжено распоредување на војската. Министерството за внатрешни работи е главниот чинител во областа на миграцијата. Поделбата на задачите меѓу</w:t>
      </w:r>
      <w:r w:rsidRPr="00865EBC">
        <w:rPr>
          <w:rFonts w:ascii="Times New Roman" w:hAnsi="Times New Roman" w:cs="Times New Roman"/>
          <w:b/>
          <w:bCs/>
          <w:sz w:val="24"/>
        </w:rPr>
        <w:t xml:space="preserve"> институциите</w:t>
      </w:r>
      <w:r w:rsidRPr="00865EBC">
        <w:rPr>
          <w:rFonts w:ascii="Times New Roman" w:hAnsi="Times New Roman" w:cs="Times New Roman"/>
          <w:sz w:val="24"/>
        </w:rPr>
        <w:t xml:space="preserve"> што се занимаваат со миграција останува, со што управувањето станува помалку ефективно. Во декември 2021 година, Собранието донесе нова Резолуција </w:t>
      </w:r>
      <w:r>
        <w:rPr>
          <w:rFonts w:ascii="Times New Roman" w:hAnsi="Times New Roman" w:cs="Times New Roman"/>
          <w:sz w:val="24"/>
        </w:rPr>
        <w:t>на</w:t>
      </w:r>
      <w:r w:rsidRPr="00865EBC">
        <w:rPr>
          <w:rFonts w:ascii="Times New Roman" w:hAnsi="Times New Roman" w:cs="Times New Roman"/>
          <w:sz w:val="24"/>
        </w:rPr>
        <w:t xml:space="preserve"> миграциската политика и нејзин Акциски план (2021 </w:t>
      </w:r>
      <w:r w:rsidRPr="00865EBC">
        <w:rPr>
          <w:rFonts w:ascii="Times New Roman" w:hAnsi="Times New Roman" w:cs="Times New Roman"/>
          <w:i/>
          <w:iCs/>
          <w:sz w:val="24"/>
        </w:rPr>
        <w:t xml:space="preserve">– </w:t>
      </w:r>
      <w:r w:rsidRPr="00865EBC">
        <w:rPr>
          <w:rFonts w:ascii="Times New Roman" w:hAnsi="Times New Roman" w:cs="Times New Roman"/>
          <w:sz w:val="24"/>
        </w:rPr>
        <w:t xml:space="preserve">2025) каде што се дефинираат стратегиските насоки и мерки на земјата во управувањето со миграцијата. Развиен е новиот миграциски профил на земјата за 2021 година со релевантни статистички податоци за легалната и нерегуларната надворешна миграција и за внатрешната миграција, како и анализа врз основа на перцепцијата на миграциските трендови во последната деценија (2009 </w:t>
      </w:r>
      <w:r w:rsidRPr="00865EBC">
        <w:rPr>
          <w:rFonts w:ascii="Times New Roman" w:hAnsi="Times New Roman" w:cs="Times New Roman"/>
          <w:i/>
          <w:iCs/>
          <w:sz w:val="24"/>
        </w:rPr>
        <w:t>–</w:t>
      </w:r>
      <w:r>
        <w:rPr>
          <w:rFonts w:ascii="Times New Roman" w:hAnsi="Times New Roman" w:cs="Times New Roman"/>
          <w:i/>
          <w:iCs/>
          <w:sz w:val="24"/>
        </w:rPr>
        <w:t xml:space="preserve"> </w:t>
      </w:r>
      <w:r w:rsidRPr="00865EBC">
        <w:rPr>
          <w:rFonts w:ascii="Times New Roman" w:hAnsi="Times New Roman" w:cs="Times New Roman"/>
          <w:sz w:val="24"/>
        </w:rPr>
        <w:t xml:space="preserve">2019). Новата </w:t>
      </w:r>
      <w:r>
        <w:rPr>
          <w:rFonts w:ascii="Times New Roman" w:hAnsi="Times New Roman" w:cs="Times New Roman"/>
          <w:b/>
          <w:bCs/>
          <w:sz w:val="24"/>
        </w:rPr>
        <w:t>С</w:t>
      </w:r>
      <w:r w:rsidRPr="00865EBC">
        <w:rPr>
          <w:rFonts w:ascii="Times New Roman" w:hAnsi="Times New Roman" w:cs="Times New Roman"/>
          <w:b/>
          <w:bCs/>
          <w:sz w:val="24"/>
        </w:rPr>
        <w:t>тратегија</w:t>
      </w:r>
      <w:r w:rsidRPr="00865EBC">
        <w:rPr>
          <w:rFonts w:ascii="Times New Roman" w:hAnsi="Times New Roman" w:cs="Times New Roman"/>
          <w:sz w:val="24"/>
        </w:rPr>
        <w:t xml:space="preserve"> за интеграција на бегалци и странци сè уште чека на донесување бидејќи нема политичка волја да се придвижи напред. Треба да се засили спроведувањето на Националната стратегија за соработка со дијаспората 2019 </w:t>
      </w:r>
      <w:r w:rsidRPr="00865EBC">
        <w:rPr>
          <w:rFonts w:ascii="Times New Roman" w:hAnsi="Times New Roman" w:cs="Times New Roman"/>
          <w:i/>
          <w:iCs/>
          <w:sz w:val="24"/>
        </w:rPr>
        <w:t xml:space="preserve">– </w:t>
      </w:r>
      <w:r w:rsidRPr="00865EBC">
        <w:rPr>
          <w:rFonts w:ascii="Times New Roman" w:hAnsi="Times New Roman" w:cs="Times New Roman"/>
          <w:sz w:val="24"/>
        </w:rPr>
        <w:t>2022. Продолжуваат да се спроведуваат договорите за реадмисија со земјите од ЕУ.</w:t>
      </w:r>
    </w:p>
    <w:p w14:paraId="29F2E82E"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Капацитет за спроведување и извршување</w:t>
      </w:r>
    </w:p>
    <w:p w14:paraId="66C1F17E"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Северна Македонија продолжува да игра активна улога во управувањето на мешаните миграциски текови на една од главните транзитни рути за нелегално мешано движење. Планот за непредвидени ситуации за управување со големи миграциски текови сè уште треба да се финализира и да се донесе. Со поддршка на службеници од земјите членки на ЕУ се обезбедува ефективна контрола врз јужната граница.</w:t>
      </w:r>
    </w:p>
    <w:p w14:paraId="395A653C"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И покрај тоа што евидентирањето на мигрантите уапсени во земјата продолжи на почетокот на 2021 година, недостатокот на соодветно профилирање чувствително на заштита и упатување до националните механизми за заштита на сите лица што се идентификувани дека имаат потреба од меѓународна заштита или имаат други потреби за заштита останува загрижувачки. Евидентирањето на мигрантите треба да се врши систематски и треба да се подобри профилирањето чувствително на заштита. Со поддршката на националните органи, Европската агенција за гранична и крајбрежна стража разви длабинска процена (Мастерплан) за Северна Македонија, обезбедувајќи сеопфатен, детален и изводлив план за спроведување за развој на ИТ-системи и комуникациска инфраструктура за идентификација и регистрација на мешани миграциски текови во согласност со барањата на ЕУ со цел поддршка на идната интероперабилност со големите ИТ-системи на ЕУ. Во отсуство на ефективни договори за реадмисија со соседните земји, практиката на враќање на уапсените мигранти надвор од правната и/или процедуралната рамка во соседните земји продолжи и треба да се прекине како приоритет. Постои систематско суштинско несогласување меѓу бројките на пријавени нерегуларни премини и присуството во транзитните центри, кои честопати се речиси празни.</w:t>
      </w:r>
    </w:p>
    <w:p w14:paraId="5BEA8F4E"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Нерегуларните движења низ територијата продолжија со зголемено темпо во споредба со претходните години. Бројот на нерегуларни пристигнувања во 2021 година </w:t>
      </w:r>
      <w:r w:rsidRPr="00865EBC">
        <w:rPr>
          <w:rFonts w:ascii="Times New Roman" w:hAnsi="Times New Roman" w:cs="Times New Roman"/>
          <w:sz w:val="24"/>
        </w:rPr>
        <w:lastRenderedPageBreak/>
        <w:t>изнесуваше 20.874 лица, во споредба со 41.257 лица регистрирани во 2020 година, кои патувале претежно од Грција кон Србија (околу 86 %), при што најголемите групи се составени од неженети мажи со националност од Пакистан (34 %) и Авганистан (22 %). Луѓето со нерегуларно движење остануваат мета на организирани криминални групи вклучени во криумчарење луѓе, кои честопати изнудуваат пари и ги злоупотребуваат на различни начини. Тие се изложени на ризик од прекршување на човековите права долж рутата. Петмина мигранти загинаа во 2021 година додека се движеле во земјата.</w:t>
      </w:r>
    </w:p>
    <w:p w14:paraId="50887B60"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И покрај спроведените полициски операции и неколку апсења, криумчарењето мигранти продолжува. Откриени се 64 случаја на криумчарење 815 мигранти. Во споредба со 2020 година, откриените случаи на криумчарење мигранти бележат намалување за 33 %, а намалување има и за повеќе од 70 % кај криумчарените мигранти. Бројот на криумчарени мигранти останува голем и борбата против мрежите на криумчарење мора да се подобри како приоритет. </w:t>
      </w:r>
    </w:p>
    <w:p w14:paraId="1EF1FC20"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Во 2021 година сè уште се во функција двата привремени транзитни центра на границите со краткорочно сместување за вкупно 2.810 лица (798 во Винојуг и 2.012 во Табановце). Ниеден транзитен центар не е погоден за долгорочни престои, а органите и понатаму не сакаат да дозволат повеќе од привремен престој. Работните трошоци на двата центра продолжуваат да се покриваат од невладини извори. Правниот статус на двата центра останува сериозен јаз што доведе до донесување неколку практики што не се во согласност со правните стандарди. Нема постапка, ниту судски надзор врз одлуката за сместување мигранти во Винојуг што стана затворен центар, со ограничена слобода за движење на мигрантите. Во 2021 година, националните органи, исто така, го искористија Винојуг за </w:t>
      </w:r>
      <w:r w:rsidRPr="00865EBC">
        <w:rPr>
          <w:rFonts w:ascii="Times New Roman" w:hAnsi="Times New Roman" w:cs="Times New Roman"/>
          <w:i/>
          <w:iCs/>
          <w:sz w:val="24"/>
        </w:rPr>
        <w:t>де факто</w:t>
      </w:r>
      <w:r w:rsidRPr="00865EBC">
        <w:rPr>
          <w:rFonts w:ascii="Times New Roman" w:hAnsi="Times New Roman" w:cs="Times New Roman"/>
          <w:sz w:val="24"/>
        </w:rPr>
        <w:t xml:space="preserve"> притворање мигранти пресретнати за време на инцидентите со криумчарење со цел да ги земат нивните изјави како доказ пред Кривичниот суд (многу од нив беа малолетници без придружба), додека оние што бараа азил беа обработени во рок од 3-4 дена и транспортирани до Прифатниот центар за баратели на азил во Визбегово.</w:t>
      </w:r>
    </w:p>
    <w:p w14:paraId="446220D4"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Договорот за реадмисија со ЕУ се спроведува на задоволителен начин од земјата. Во август 2021 година, склучен е Протоколот меѓу Владата и државите на Бенелукс за спроведување на Договорот за реадмисија. Протоколите за спроведување со десет земји членки на ЕУ продолжуваат ефикасно да се спроведуваат. Во 2021 година, продолжи намалувањето на бројот на издадени решенија за враќање државјани на Северна Македонија. (2.200 во 2021 година во споредба со 2.360 во 2020 година, што претставува намалување од 7 %), како и во бројот на реално вратени луѓе (940 во 2021 година во споредба со 1.445 во 2000 година, што претставува намалување од 35 %). Во првите шест месеци од 2022 година, на 940 граѓани на Северна Македонија им било наредено да си заминат, а 540 биле реално вратени.</w:t>
      </w:r>
    </w:p>
    <w:p w14:paraId="0392509E"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Во 2021 година, Северна Македонија привремено прими околу 633 евакуирани лица/бегалци од Авганистан. Евакуираните лица беа сместени во локални хотели додека чекаа преселување во други земји. До крајот на ноември, беа преселени 85 евакуирани лица/бегалци. </w:t>
      </w:r>
    </w:p>
    <w:p w14:paraId="1F2B6A95"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Од март 2022 година, Северна Македонија почна да прима бегалци од Украина, главно во приватно сместување, на кои им е доделен статус на привремена заштита. </w:t>
      </w:r>
    </w:p>
    <w:p w14:paraId="5FA49DE9" w14:textId="77777777" w:rsidR="00A50BBD" w:rsidRPr="00865EBC" w:rsidRDefault="00A50BBD" w:rsidP="006E4EB0">
      <w:pPr>
        <w:jc w:val="both"/>
        <w:rPr>
          <w:rFonts w:ascii="Times New Roman" w:hAnsi="Times New Roman" w:cs="Times New Roman"/>
          <w:sz w:val="24"/>
        </w:rPr>
      </w:pPr>
      <w:r w:rsidRPr="00865EBC">
        <w:rPr>
          <w:rFonts w:ascii="Times New Roman" w:hAnsi="Times New Roman" w:cs="Times New Roman"/>
          <w:sz w:val="24"/>
        </w:rPr>
        <w:lastRenderedPageBreak/>
        <w:t>Бегалци од Косово, главно Роми, проценети на 251, остануваат во неизвесна ситуација со неодреден статус. Освен ограничен број (14) признати бегалци, другите имаат или супсидијарна заштита (87) или немаат статус (150). Сѐ додека националните органи не ги вратат или депортираат, тие остануваат без статус и без пристап до права. По две децении живеење во земјата, со разни статуси, потребно е да се најде одржливо решение. Во 2021 година, преку програмата за потпомогнато доброволно враќање и реинтеграција, на вкупно 6 државјани на трети земји на кои не им е потребна меѓународна заштита им беше помогнато да се вратат во своите земји на потекло, вклучувајќи ги Турција, Ерменија и Ирак.</w:t>
      </w:r>
    </w:p>
    <w:p w14:paraId="494ACDEF" w14:textId="77777777" w:rsidR="00A50BBD" w:rsidRPr="00865EBC" w:rsidRDefault="00A50BBD" w:rsidP="006E4EB0">
      <w:pPr>
        <w:keepNext/>
        <w:jc w:val="both"/>
        <w:rPr>
          <w:rFonts w:ascii="Times New Roman" w:hAnsi="Times New Roman" w:cs="Times New Roman"/>
          <w:b/>
          <w:noProof/>
          <w:sz w:val="24"/>
          <w:szCs w:val="24"/>
        </w:rPr>
      </w:pPr>
      <w:r w:rsidRPr="00865EBC">
        <w:rPr>
          <w:rFonts w:ascii="Times New Roman" w:hAnsi="Times New Roman" w:cs="Times New Roman"/>
          <w:b/>
          <w:sz w:val="24"/>
        </w:rPr>
        <w:t>Азил</w:t>
      </w:r>
    </w:p>
    <w:p w14:paraId="55CB1EF1"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 xml:space="preserve">Институционална поставеност и правно усогласување </w:t>
      </w:r>
    </w:p>
    <w:p w14:paraId="6C6EEA93"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Законот за меѓународна и привремена заштита во голема мера е усогласен со </w:t>
      </w:r>
      <w:r w:rsidRPr="00865EBC">
        <w:rPr>
          <w:rFonts w:ascii="Times New Roman" w:hAnsi="Times New Roman" w:cs="Times New Roman"/>
          <w:iCs/>
          <w:sz w:val="24"/>
        </w:rPr>
        <w:t xml:space="preserve">правото на </w:t>
      </w:r>
      <w:r w:rsidRPr="00865EBC">
        <w:rPr>
          <w:rFonts w:ascii="Times New Roman" w:hAnsi="Times New Roman" w:cs="Times New Roman"/>
          <w:sz w:val="24"/>
        </w:rPr>
        <w:t xml:space="preserve">ЕУ и постојат релевантни подзаконски акти. Останува јаз во областа на притвор за лица во нерегуларно движење, бидејќи моменталното законодавство не дава алтернативи на притворот. Немањето броеви за лична идентификација на барателите на азил и лицата под привремена заштита останува нерешено и претставува критичен јаз во заштитата на правата загарантирани со законот, како што се правото на работа, отворање банкарска сметка и управување со имот, уверение за образование и друго. Законот предвидува право на обединување на семејството. Признатите бегалци може да имаат корист од тоа веднаш, но останува загриженоста во поглед на одложеното обединување на семејствата на лица под супсидијарна заштита, за две години по признавањето на статусот. Бидејќи супсидијарната заштита станува распространета форма на заштита што се доделува во земјата, вклучително и за деца без придружба, ваквите одложувања може значително да влијаат врз правото на семејно единство и, во случај на деца, може да го прекршат начелото на најдобриот интерес на детето. </w:t>
      </w:r>
    </w:p>
    <w:p w14:paraId="762A003C"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Законот за странци дозволува доделување долготраен престој на луѓето што уживаат меѓународна заштита, олеснувајќи ја на тој начин нивната локална интеграција. Сепак, тие сè уште мора да доставуваат доказ за редовен приход и регистрирано место на живеење за да имаат придобивка од оваа одредба. Со оглед на екстремната ранливост на некои баратели, постои ризик дека правата од оваа одредба ќе останат само теоретски. Ваквите барања се особено тешки за косовските Роми, кои сè уште се под супсидијарна заштита. Нивниот статус се прегледува секоја година и ги лишува од долгорочно вработување.</w:t>
      </w:r>
    </w:p>
    <w:p w14:paraId="4458014C"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Капацитет за спроведување и извршување</w:t>
      </w:r>
    </w:p>
    <w:p w14:paraId="7F36920E"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Спроведувањето на постапката за азил сè уште не е во согласност со </w:t>
      </w:r>
      <w:r w:rsidRPr="00705B41">
        <w:rPr>
          <w:rFonts w:ascii="Times New Roman" w:hAnsi="Times New Roman" w:cs="Times New Roman"/>
          <w:i/>
          <w:iCs/>
          <w:sz w:val="24"/>
        </w:rPr>
        <w:t>правото</w:t>
      </w:r>
      <w:r w:rsidRPr="00865EBC">
        <w:rPr>
          <w:rFonts w:ascii="Times New Roman" w:hAnsi="Times New Roman" w:cs="Times New Roman"/>
          <w:iCs/>
          <w:sz w:val="24"/>
        </w:rPr>
        <w:t xml:space="preserve"> на</w:t>
      </w:r>
      <w:r w:rsidRPr="00865EBC">
        <w:rPr>
          <w:rFonts w:ascii="Times New Roman" w:hAnsi="Times New Roman" w:cs="Times New Roman"/>
          <w:sz w:val="24"/>
        </w:rPr>
        <w:t xml:space="preserve"> ЕУ. Продолжува произволниот притвор на лицата фатени во нерегуларни движења во прифатниот центар за странци во општина Гази Баба за да се добие нивното сведочење во судските случаи против криумчарите. Оваа практика не е во согласност со меѓународните стандарди. Во текот на 2021 година, во Центарот за странци во Гази Баба се приведени вкупно 197 возрасни лица (171 маж и 26 жени), како и 18 малолетни лица (3 придружувани лица и 15 лица без придружба). По одлуката на Владата од октомври 2021 година за прекин на градежните активности за новиот прифатен центар за странци во Бардовци, не беше пронајдена нова локација за оваа зграда. Единствениот </w:t>
      </w:r>
      <w:r w:rsidRPr="00865EBC">
        <w:rPr>
          <w:rFonts w:ascii="Times New Roman" w:hAnsi="Times New Roman" w:cs="Times New Roman"/>
          <w:sz w:val="24"/>
        </w:rPr>
        <w:lastRenderedPageBreak/>
        <w:t>преостанат објект од овој тип е стариот прифатен центар за странци во Гази Баба. Редовниот капацитет за прием остана непроменет и е приспособен на тековните потреби. Властите не воспоставија алтернативни државни сместувачки капацитети за лица со посебни потреби. Во 2021 година, времето поминато во притвор беше во просек помеѓу 29 и 50 дена, што се смета за предолго. Сè уште нема ефикасна судска контрола врз практиките за притвор и мигрантите во притвор немаат правно советување и помош со цел ефективен пристап до правдата и правните лекови.</w:t>
      </w:r>
    </w:p>
    <w:p w14:paraId="6B8E0DEE"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Продолжи да се обезбедува пристап до постапката за азил. Во 2021 година беа поднесени 100 барања за азил (намалување во споредба со 211 во 2020 година), од кои 22 % од Сирија, 16 % од Пакистан, 9 % од Турција, 7 % од Куба и 5 % од Чеченија. Барањата за азил беа навремено регистрирани и обработени. До крајот на 2021 година, Секторот за азил изврши 25 интервјуа за азил преку интернет, на четири лица им одобри супсидијарна заштита и одби 23 лица, додека постапките за другите лица беа прекинати бидејќи барателите на азил избегале. Статусот на бегалец никому не му е доделен од 2016 година. Постојната база на податоци за странци, која треба да обезбеди алатка за управување со случаи за обработка на барањата за азил, сè уште треба да се подобрува преку развој на нов модул за азил. Нема заостанати случаи на азил, и повеќето случаи се прекинати поради високата стапка на откажување од барањата.</w:t>
      </w:r>
    </w:p>
    <w:p w14:paraId="43B96490"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И покрај одреден напредок, квалитетот на одлуките за азил останува загрижувачки. Повеќето од лицата на кои им е доделена супсидијарна заштита се ранливи лица и деца без придружба и одвоени деца без соодветно разгледување на основаноста на барањето, туку од хуманитарни потреби. Целата постапка за азил може да трае неколку години, што не е ефикасно. Меѓу другото, останува да се работи на процените на кредибилитетот, правното образложение на одлуките, индивидуалната процена на личните околности на барателите, правилната процена на релевантните и ажурирани информации за земјата на потекло и приоретизацијата на очигледно основаните случаи. Иако е загарантирана со закон, не е спроведена поволна постапка во однос на лицата со посебни потреби.</w:t>
      </w:r>
    </w:p>
    <w:p w14:paraId="3A53C0F4"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Управниот суд и Вишиот управен суд продолжуваат да носат одлуки врз процедурални основи, а не врз основаноста на барањата за азил. Предметите вратени на управниот орган остануваат непроменети и покрај судската одлука. Затоа, постапката за азил се продолжува без ефективни правни лекови. Продолжува личното сослушување на адвокатите и службениците за азил, но не и на барателите на азил. Одлуките за утврдување статус обично се придружени со автоматско решение за протерување без квалитетна процена на тоа дали некое лице може да е предмет на прогон по враќањето.</w:t>
      </w:r>
    </w:p>
    <w:p w14:paraId="3A1E25E9"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Во 2021 година, Секторот за азил ја продолжи практиката на прекинување на меѓународната заштита за бегалците од Косово на кои им беше дадена дополнителна заштита. Помеѓу јануари и декември 2021 година, 43 косовски Роми (21 случај) ја изгубија супсидијарната заштита. Ваквите практики ги ослабуваат можностите за изнаоѓање трајно решение за преостанатите бегалци од Косово и затворање на долгогодишното прашање. Нема услуги за преведување финансирани од државата во која било фаза од постапката за азил или за кој било јазик, и ова претставува голем јаз во постапката за азил. Сè уште е недостапна бесплатната правна помош предвидена со изменетиот Закон за бесплатна правна помош.</w:t>
      </w:r>
    </w:p>
    <w:p w14:paraId="31A12A3F"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lastRenderedPageBreak/>
        <w:t>Во 2021 година, Владата продолжи да ги запишува децата што бараат азил во основно образование кратко време по нивното пристигнување. Сепак, треба да се работи на правилно вклучување во образовниот процес, под услов децата да поминат низ постапка за утврдување на нивното ниво на знаење како што е предвидено со Законот за основно образование и да се стават на соодветното ниво на образование. Односно не се нудат систематски часови по македонски јазик и воннаставни часови за да се поттикне лесен премин меѓу нивоата на образование, вклучително и средното образование. Постарите деца продолжуваат да ги пропуштаат можностите за образование поради овие јазови. Наставниците треба да имаат корист од поддршката и насоките во работата со децата бегалци.</w:t>
      </w:r>
    </w:p>
    <w:p w14:paraId="0EDE7B1F" w14:textId="0200FBF5"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Потребна е политичка волја на високо ниво за спроведување понатамошни подобрувања во системот за азил. Земјата соработува со Агенцијата за азил на Европската Унија (ЕУАА) преку спроведување сеопфатен патоказ за поддршка на воспоставувањето системи за азил и прием во согласност со стандардите на ЕУ за периодот 2020 </w:t>
      </w:r>
      <w:r w:rsidRPr="00865EBC">
        <w:rPr>
          <w:rFonts w:ascii="Times New Roman" w:hAnsi="Times New Roman" w:cs="Times New Roman"/>
          <w:i/>
          <w:iCs/>
          <w:sz w:val="24"/>
        </w:rPr>
        <w:t xml:space="preserve">– </w:t>
      </w:r>
      <w:r w:rsidRPr="00865EBC">
        <w:rPr>
          <w:rFonts w:ascii="Times New Roman" w:hAnsi="Times New Roman" w:cs="Times New Roman"/>
          <w:sz w:val="24"/>
        </w:rPr>
        <w:t>2022 година.</w:t>
      </w:r>
    </w:p>
    <w:p w14:paraId="08260BA3" w14:textId="77777777" w:rsidR="00A50BBD" w:rsidRPr="00865EBC" w:rsidRDefault="00A50BBD" w:rsidP="006E4EB0">
      <w:pPr>
        <w:keepNext/>
        <w:jc w:val="both"/>
        <w:rPr>
          <w:rFonts w:ascii="Times New Roman" w:hAnsi="Times New Roman" w:cs="Times New Roman"/>
          <w:b/>
          <w:noProof/>
          <w:sz w:val="24"/>
          <w:szCs w:val="24"/>
        </w:rPr>
      </w:pPr>
      <w:r w:rsidRPr="00865EBC">
        <w:rPr>
          <w:rFonts w:ascii="Times New Roman" w:hAnsi="Times New Roman" w:cs="Times New Roman"/>
          <w:b/>
          <w:sz w:val="24"/>
        </w:rPr>
        <w:t>Визна политика</w:t>
      </w:r>
    </w:p>
    <w:p w14:paraId="3699289C" w14:textId="7ACE8E3D"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Визниот режим во голема мера е усогласен со оној на ЕУ. Четвртиот извештај на Комисијата во рамките на Механизмот за суспензија на визниот режим</w:t>
      </w:r>
      <w:r w:rsidRPr="00865EBC">
        <w:rPr>
          <w:rFonts w:ascii="Times New Roman" w:hAnsi="Times New Roman" w:cs="Times New Roman"/>
          <w:noProof/>
          <w:sz w:val="24"/>
          <w:szCs w:val="24"/>
          <w:vertAlign w:val="superscript"/>
        </w:rPr>
        <w:footnoteReference w:id="12"/>
      </w:r>
      <w:r w:rsidRPr="00865EBC">
        <w:rPr>
          <w:rFonts w:ascii="Times New Roman" w:hAnsi="Times New Roman" w:cs="Times New Roman"/>
          <w:sz w:val="24"/>
        </w:rPr>
        <w:t xml:space="preserve"> од август 2021 година констатира дека Северна Македонија продолжува да ги исполнува одредниците за визна либерализација. Националното законодавство не е целосно во согласност со списокот на ЕУ на земји чии државјани подлежат на виза за краток престој во ЕУ. Визите за краток престој се еднострано укинати за државјани на трети земји што се државјани со дозвола за постојан или привремен престој издадена од земја членка на ЕУ/членка на Шенген, како и за државјани на трети земји што поседуваат </w:t>
      </w:r>
      <w:r>
        <w:rPr>
          <w:rFonts w:ascii="Times New Roman" w:hAnsi="Times New Roman" w:cs="Times New Roman"/>
          <w:sz w:val="24"/>
        </w:rPr>
        <w:t>важечки</w:t>
      </w:r>
      <w:r w:rsidRPr="00865EBC">
        <w:rPr>
          <w:rFonts w:ascii="Times New Roman" w:hAnsi="Times New Roman" w:cs="Times New Roman"/>
          <w:sz w:val="24"/>
        </w:rPr>
        <w:t xml:space="preserve"> повеќекратни американски, канадски визи и визи за Обединетото Кралство. Северна Македонија повторно го воведе барањето за виза за руски државјани во март 2022 година.</w:t>
      </w:r>
    </w:p>
    <w:p w14:paraId="2CB7AB96" w14:textId="77777777" w:rsidR="00A50BBD" w:rsidRPr="00865EBC" w:rsidRDefault="00A50BBD" w:rsidP="006E4EB0">
      <w:pPr>
        <w:keepNext/>
        <w:jc w:val="both"/>
        <w:rPr>
          <w:rFonts w:ascii="Times New Roman" w:hAnsi="Times New Roman" w:cs="Times New Roman"/>
          <w:noProof/>
          <w:sz w:val="24"/>
          <w:szCs w:val="24"/>
        </w:rPr>
      </w:pPr>
      <w:r w:rsidRPr="00865EBC">
        <w:rPr>
          <w:rFonts w:ascii="Times New Roman" w:hAnsi="Times New Roman" w:cs="Times New Roman"/>
          <w:sz w:val="24"/>
        </w:rPr>
        <w:t>Визната политика треба дополнително да се усогласи за голем број земји што моментално се на безвизниот список на ЕУ, од чиишто државјани сè уште се бара виза за влез во Северна Македонија.</w:t>
      </w:r>
    </w:p>
    <w:p w14:paraId="1D3E54D6" w14:textId="77777777" w:rsidR="00A50BBD" w:rsidRPr="00865EBC" w:rsidRDefault="00A50BBD" w:rsidP="006E4EB0">
      <w:pPr>
        <w:keepNext/>
        <w:jc w:val="both"/>
        <w:rPr>
          <w:rFonts w:ascii="Times New Roman" w:hAnsi="Times New Roman" w:cs="Times New Roman"/>
          <w:b/>
          <w:noProof/>
          <w:sz w:val="24"/>
          <w:szCs w:val="24"/>
        </w:rPr>
      </w:pPr>
      <w:r w:rsidRPr="00865EBC">
        <w:rPr>
          <w:rFonts w:ascii="Times New Roman" w:hAnsi="Times New Roman" w:cs="Times New Roman"/>
          <w:b/>
          <w:sz w:val="24"/>
        </w:rPr>
        <w:t>Шенген и надворешни граници</w:t>
      </w:r>
    </w:p>
    <w:p w14:paraId="7B496A2F"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Институционална поставеност и правно усогласување</w:t>
      </w:r>
    </w:p>
    <w:p w14:paraId="4A7B821D"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Одделот за гранични работи и миграции е специјализирана единица во рамките на Министерството за внатрешни работи. Граничната полиција е структурирана во четири регионални центри, во кои работат полициски станици за граничен надзор и за гранични проверки.</w:t>
      </w:r>
    </w:p>
    <w:p w14:paraId="7F3B61E1" w14:textId="15DDE8EE"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 xml:space="preserve">Законската рамка за управување со надворешните граници во голема мера е во согласност со стандардите на ЕУ. Националната стратегија за интегрирано гранично управување 2022 </w:t>
      </w:r>
      <w:r w:rsidRPr="00865EBC">
        <w:rPr>
          <w:rFonts w:ascii="Times New Roman" w:hAnsi="Times New Roman" w:cs="Times New Roman"/>
          <w:i/>
          <w:iCs/>
          <w:sz w:val="24"/>
        </w:rPr>
        <w:t xml:space="preserve">– </w:t>
      </w:r>
      <w:r w:rsidRPr="00865EBC">
        <w:rPr>
          <w:rFonts w:ascii="Times New Roman" w:hAnsi="Times New Roman" w:cs="Times New Roman"/>
          <w:sz w:val="24"/>
        </w:rPr>
        <w:t xml:space="preserve">2025 е донесена во 2022 година и е усогласена со концептот на ЕУ за интегрирано гранично управување. Останува да се измени Законот за гранична контрола со цел да се усогласи со Директивата 2016/681 за употреба на податоци за </w:t>
      </w:r>
      <w:r>
        <w:rPr>
          <w:rFonts w:ascii="Times New Roman" w:hAnsi="Times New Roman" w:cs="Times New Roman"/>
          <w:sz w:val="24"/>
        </w:rPr>
        <w:lastRenderedPageBreak/>
        <w:t>евиденција на</w:t>
      </w:r>
      <w:r w:rsidRPr="00865EBC">
        <w:rPr>
          <w:rFonts w:ascii="Times New Roman" w:hAnsi="Times New Roman" w:cs="Times New Roman"/>
          <w:sz w:val="24"/>
        </w:rPr>
        <w:t xml:space="preserve"> имиња на патници (</w:t>
      </w:r>
      <w:r>
        <w:rPr>
          <w:rFonts w:ascii="Times New Roman" w:hAnsi="Times New Roman" w:cs="Times New Roman"/>
          <w:sz w:val="24"/>
          <w:lang w:val="en-US"/>
        </w:rPr>
        <w:t>PNR</w:t>
      </w:r>
      <w:r w:rsidRPr="00865EBC">
        <w:rPr>
          <w:rFonts w:ascii="Times New Roman" w:hAnsi="Times New Roman" w:cs="Times New Roman"/>
          <w:sz w:val="24"/>
        </w:rPr>
        <w:t>) за спречување, откривање, истрага и гонење терористички престапи и сериозни кривични дела.</w:t>
      </w:r>
    </w:p>
    <w:p w14:paraId="242702A8" w14:textId="77777777" w:rsidR="00A50BBD" w:rsidRPr="00865EBC" w:rsidRDefault="00A50BBD" w:rsidP="006E4EB0">
      <w:pPr>
        <w:keepNext/>
        <w:jc w:val="both"/>
        <w:rPr>
          <w:rFonts w:ascii="Times New Roman" w:hAnsi="Times New Roman" w:cs="Times New Roman"/>
          <w:noProof/>
          <w:sz w:val="24"/>
          <w:szCs w:val="24"/>
          <w:u w:val="single"/>
        </w:rPr>
      </w:pPr>
      <w:r w:rsidRPr="00865EBC">
        <w:rPr>
          <w:rFonts w:ascii="Times New Roman" w:hAnsi="Times New Roman" w:cs="Times New Roman"/>
          <w:sz w:val="24"/>
          <w:u w:val="single"/>
        </w:rPr>
        <w:t>Капацитет за спроведување и извршување</w:t>
      </w:r>
    </w:p>
    <w:p w14:paraId="079D9BB6"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На јужната граница се распоредени мешани полициски патроли со припадници на граничната полиција на Австрија, Хрватска, Чешка, Унгарија, Полска, Словенија, Словачка и Србија за управување на миграциските текови. Националните органи соработуваат со Европската агенција за гранична и крајбрежна стража (Фронтекс) и учествуваат во заедничките операции. Во август 2022 година, Комисијата преговараше за договорот за статус со Северна Македонија што се очекува да се потпише пред крајот на годината. Во меѓувреме, земјата соработува со Фронтекс во развојот на оперативен план, што овозможува брзо распоредување тимови во земјата.</w:t>
      </w:r>
    </w:p>
    <w:p w14:paraId="446B3CD4"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Националниот координативен центар на Северна Македонија за соработка во полето на надзор на надворешните границите делумно е оперативен, при што потребен е поголем напредок во однос на институционалниот и оперативниот капацитет, ИТ и техничката експертиза.</w:t>
      </w:r>
    </w:p>
    <w:p w14:paraId="61097531" w14:textId="77777777" w:rsidR="00A50BBD" w:rsidRPr="00865EBC" w:rsidRDefault="00A50BBD" w:rsidP="006E4EB0">
      <w:pPr>
        <w:jc w:val="both"/>
        <w:rPr>
          <w:rFonts w:ascii="Times New Roman" w:hAnsi="Times New Roman" w:cs="Times New Roman"/>
          <w:noProof/>
          <w:sz w:val="24"/>
          <w:szCs w:val="24"/>
        </w:rPr>
      </w:pPr>
      <w:r w:rsidRPr="00865EBC">
        <w:rPr>
          <w:rFonts w:ascii="Times New Roman" w:hAnsi="Times New Roman" w:cs="Times New Roman"/>
          <w:sz w:val="24"/>
        </w:rPr>
        <w:t>Соработката со соседните земји и понатаму е добра. Постои непречено спроведување на граничните договори со повеќето соседни земји. Заедничките гранични патроли со соседните земји и заедничките полициски контакт-центри продолжија со редовна размена на информации. Имаше мешани патроли со Албанија, Србија и Косово. Во моментов, има два заеднички гранични премина за локален сообраќај со Србија и еден со Албанија.</w:t>
      </w:r>
    </w:p>
    <w:p w14:paraId="42E1D362" w14:textId="77777777" w:rsidR="00A50BBD" w:rsidRPr="00865EBC" w:rsidRDefault="00A50BBD" w:rsidP="006E4EB0">
      <w:pPr>
        <w:jc w:val="both"/>
        <w:rPr>
          <w:rFonts w:ascii="Times New Roman" w:hAnsi="Times New Roman" w:cs="Times New Roman"/>
          <w:i/>
          <w:noProof/>
          <w:sz w:val="24"/>
          <w:szCs w:val="24"/>
        </w:rPr>
      </w:pPr>
      <w:r w:rsidRPr="00865EBC">
        <w:rPr>
          <w:rFonts w:ascii="Times New Roman" w:hAnsi="Times New Roman" w:cs="Times New Roman"/>
          <w:i/>
          <w:sz w:val="24"/>
        </w:rPr>
        <w:t>Сите аспекти на царинската соработка сега се опфатени во Поглавје 29 – Царинска унија.</w:t>
      </w:r>
    </w:p>
    <w:p w14:paraId="6C7736BB" w14:textId="77777777" w:rsidR="00A50BBD" w:rsidRPr="00865EBC" w:rsidRDefault="00A50BBD" w:rsidP="006E4EB0">
      <w:pPr>
        <w:keepNext/>
        <w:keepLines/>
        <w:outlineLvl w:val="1"/>
        <w:rPr>
          <w:rFonts w:ascii="Times New Roman" w:eastAsia="Times New Roman" w:hAnsi="Times New Roman" w:cs="Times New Roman"/>
          <w:b/>
          <w:bCs/>
          <w:smallCaps/>
          <w:noProof/>
          <w:color w:val="000000" w:themeColor="text1"/>
          <w:sz w:val="24"/>
          <w:szCs w:val="24"/>
        </w:rPr>
      </w:pPr>
      <w:bookmarkStart w:id="75" w:name="_Toc108092754"/>
      <w:bookmarkStart w:id="76" w:name="_Toc115619782"/>
      <w:bookmarkStart w:id="77" w:name="_Toc117004153"/>
      <w:r w:rsidRPr="00865EBC">
        <w:rPr>
          <w:rFonts w:ascii="Times New Roman" w:eastAsia="Times New Roman" w:hAnsi="Times New Roman" w:cs="Times New Roman"/>
          <w:b/>
          <w:bCs/>
          <w:smallCaps/>
          <w:color w:val="000000" w:themeColor="text1"/>
          <w:sz w:val="24"/>
          <w:szCs w:val="24"/>
        </w:rPr>
        <w:t>2.3. Економски критериуми</w:t>
      </w:r>
      <w:bookmarkEnd w:id="75"/>
      <w:bookmarkEnd w:id="76"/>
      <w:bookmarkEnd w:id="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3"/>
        <w:gridCol w:w="1061"/>
        <w:gridCol w:w="964"/>
        <w:gridCol w:w="964"/>
        <w:gridCol w:w="900"/>
      </w:tblGrid>
      <w:tr w:rsidR="00A50BBD" w:rsidRPr="00865EBC" w14:paraId="0B1B4908" w14:textId="77777777" w:rsidTr="006E4EB0">
        <w:trPr>
          <w:trHeight w:val="827"/>
        </w:trPr>
        <w:tc>
          <w:tcPr>
            <w:tcW w:w="5598" w:type="dxa"/>
            <w:tcBorders>
              <w:bottom w:val="single" w:sz="4" w:space="0" w:color="auto"/>
              <w:right w:val="nil"/>
            </w:tcBorders>
            <w:shd w:val="clear" w:color="auto" w:fill="auto"/>
          </w:tcPr>
          <w:p w14:paraId="347BA5DC" w14:textId="77777777" w:rsidR="00A50BBD" w:rsidRPr="00865EBC" w:rsidRDefault="00A50BBD" w:rsidP="006E4EB0">
            <w:pPr>
              <w:rPr>
                <w:rFonts w:ascii="Times New Roman" w:eastAsia="Calibri" w:hAnsi="Times New Roman" w:cs="Times New Roman"/>
                <w:b/>
                <w:bCs/>
                <w:sz w:val="24"/>
                <w:szCs w:val="24"/>
              </w:rPr>
            </w:pPr>
          </w:p>
          <w:p w14:paraId="0696C191" w14:textId="77777777" w:rsidR="00A50BBD" w:rsidRPr="00865EBC" w:rsidRDefault="00A50BBD" w:rsidP="006E4EB0">
            <w:pPr>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Северна Македонија – клучни економски бројки</w:t>
            </w:r>
          </w:p>
        </w:tc>
        <w:tc>
          <w:tcPr>
            <w:tcW w:w="1080" w:type="dxa"/>
            <w:tcBorders>
              <w:left w:val="nil"/>
              <w:bottom w:val="single" w:sz="4" w:space="0" w:color="auto"/>
              <w:right w:val="nil"/>
            </w:tcBorders>
            <w:shd w:val="clear" w:color="auto" w:fill="auto"/>
          </w:tcPr>
          <w:p w14:paraId="608C8694" w14:textId="77777777" w:rsidR="00A50BBD" w:rsidRPr="00865EBC" w:rsidRDefault="00A50BBD" w:rsidP="006E4EB0">
            <w:pPr>
              <w:rPr>
                <w:rFonts w:ascii="Times New Roman" w:eastAsia="Calibri" w:hAnsi="Times New Roman" w:cs="Times New Roman"/>
                <w:sz w:val="24"/>
                <w:szCs w:val="24"/>
              </w:rPr>
            </w:pPr>
            <w:r w:rsidRPr="00865EBC">
              <w:rPr>
                <w:rFonts w:ascii="Times New Roman" w:eastAsia="Calibri" w:hAnsi="Times New Roman" w:cs="Times New Roman"/>
                <w:b/>
                <w:bCs/>
                <w:sz w:val="24"/>
                <w:szCs w:val="24"/>
              </w:rPr>
              <w:t>2013-18</w:t>
            </w:r>
            <w:r w:rsidRPr="00865EBC">
              <w:rPr>
                <w:rFonts w:ascii="Times New Roman" w:eastAsia="Calibri" w:hAnsi="Times New Roman" w:cs="Times New Roman"/>
                <w:sz w:val="24"/>
                <w:szCs w:val="24"/>
              </w:rPr>
              <w:t xml:space="preserve"> просек</w:t>
            </w:r>
          </w:p>
        </w:tc>
        <w:tc>
          <w:tcPr>
            <w:tcW w:w="990" w:type="dxa"/>
            <w:tcBorders>
              <w:left w:val="nil"/>
              <w:bottom w:val="single" w:sz="4" w:space="0" w:color="auto"/>
              <w:right w:val="nil"/>
            </w:tcBorders>
            <w:shd w:val="clear" w:color="auto" w:fill="auto"/>
          </w:tcPr>
          <w:p w14:paraId="0A13D0BB" w14:textId="77777777" w:rsidR="00A50BBD" w:rsidRPr="00865EBC" w:rsidRDefault="00A50BBD" w:rsidP="006E4EB0">
            <w:pPr>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2019</w:t>
            </w:r>
          </w:p>
        </w:tc>
        <w:tc>
          <w:tcPr>
            <w:tcW w:w="990" w:type="dxa"/>
            <w:tcBorders>
              <w:left w:val="nil"/>
              <w:bottom w:val="single" w:sz="4" w:space="0" w:color="auto"/>
              <w:right w:val="nil"/>
            </w:tcBorders>
            <w:shd w:val="clear" w:color="auto" w:fill="auto"/>
          </w:tcPr>
          <w:p w14:paraId="353B5E2A" w14:textId="77777777" w:rsidR="00A50BBD" w:rsidRPr="00865EBC" w:rsidRDefault="00A50BBD" w:rsidP="006E4EB0">
            <w:pPr>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2020</w:t>
            </w:r>
          </w:p>
        </w:tc>
        <w:tc>
          <w:tcPr>
            <w:tcW w:w="918" w:type="dxa"/>
            <w:tcBorders>
              <w:left w:val="nil"/>
              <w:bottom w:val="single" w:sz="4" w:space="0" w:color="auto"/>
            </w:tcBorders>
            <w:shd w:val="clear" w:color="auto" w:fill="auto"/>
          </w:tcPr>
          <w:p w14:paraId="41984EFE" w14:textId="77777777" w:rsidR="00A50BBD" w:rsidRPr="00865EBC" w:rsidRDefault="00A50BBD" w:rsidP="006E4EB0">
            <w:pPr>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2021</w:t>
            </w:r>
          </w:p>
        </w:tc>
      </w:tr>
      <w:tr w:rsidR="00A50BBD" w:rsidRPr="00865EBC" w14:paraId="4DC27D76" w14:textId="77777777" w:rsidTr="006E4EB0">
        <w:tc>
          <w:tcPr>
            <w:tcW w:w="5598" w:type="dxa"/>
            <w:tcBorders>
              <w:bottom w:val="nil"/>
              <w:right w:val="nil"/>
            </w:tcBorders>
            <w:shd w:val="clear" w:color="auto" w:fill="auto"/>
          </w:tcPr>
          <w:p w14:paraId="30CD7AD2" w14:textId="77777777" w:rsidR="00A50BBD" w:rsidRPr="00865EBC" w:rsidRDefault="00A50BBD" w:rsidP="006E4EB0">
            <w:pPr>
              <w:rPr>
                <w:rFonts w:ascii="Times New Roman" w:eastAsia="Calibri" w:hAnsi="Times New Roman" w:cs="Times New Roman"/>
                <w:sz w:val="24"/>
                <w:szCs w:val="24"/>
                <w:vertAlign w:val="superscript"/>
              </w:rPr>
            </w:pPr>
            <w:r w:rsidRPr="00865EBC">
              <w:rPr>
                <w:rFonts w:ascii="Times New Roman" w:eastAsia="Calibri" w:hAnsi="Times New Roman" w:cs="Times New Roman"/>
                <w:b/>
                <w:bCs/>
                <w:sz w:val="24"/>
                <w:szCs w:val="24"/>
              </w:rPr>
              <w:t>БДП по глава на жител</w:t>
            </w:r>
            <w:r w:rsidRPr="00865EBC">
              <w:rPr>
                <w:rFonts w:ascii="Times New Roman" w:eastAsia="Calibri" w:hAnsi="Times New Roman" w:cs="Times New Roman"/>
                <w:sz w:val="24"/>
                <w:szCs w:val="24"/>
              </w:rPr>
              <w:t xml:space="preserve"> (% од ЕУ-27 во процентни поени)</w:t>
            </w:r>
            <w:r w:rsidRPr="00865EBC">
              <w:rPr>
                <w:rFonts w:ascii="Times New Roman" w:eastAsia="Calibri" w:hAnsi="Times New Roman" w:cs="Times New Roman"/>
                <w:sz w:val="24"/>
                <w:szCs w:val="24"/>
                <w:vertAlign w:val="superscript"/>
              </w:rPr>
              <w:t>1)</w:t>
            </w:r>
          </w:p>
        </w:tc>
        <w:tc>
          <w:tcPr>
            <w:tcW w:w="1080" w:type="dxa"/>
            <w:tcBorders>
              <w:left w:val="nil"/>
              <w:bottom w:val="nil"/>
              <w:right w:val="nil"/>
            </w:tcBorders>
            <w:shd w:val="clear" w:color="auto" w:fill="auto"/>
          </w:tcPr>
          <w:p w14:paraId="55ED85A2" w14:textId="77777777" w:rsidR="00A50BBD" w:rsidRPr="00865EBC" w:rsidRDefault="00A50BBD" w:rsidP="006E4EB0">
            <w:pPr>
              <w:spacing w:after="0"/>
              <w:rPr>
                <w:rFonts w:ascii="Times New Roman" w:eastAsia="Calibri" w:hAnsi="Times New Roman" w:cs="Times New Roman"/>
                <w:sz w:val="24"/>
                <w:szCs w:val="24"/>
              </w:rPr>
            </w:pPr>
          </w:p>
          <w:p w14:paraId="142C6C4C"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37</w:t>
            </w:r>
          </w:p>
        </w:tc>
        <w:tc>
          <w:tcPr>
            <w:tcW w:w="990" w:type="dxa"/>
            <w:tcBorders>
              <w:left w:val="nil"/>
              <w:bottom w:val="nil"/>
              <w:right w:val="nil"/>
            </w:tcBorders>
            <w:shd w:val="clear" w:color="auto" w:fill="auto"/>
          </w:tcPr>
          <w:p w14:paraId="07436E4A" w14:textId="77777777" w:rsidR="00A50BBD" w:rsidRPr="00865EBC" w:rsidRDefault="00A50BBD" w:rsidP="006E4EB0">
            <w:pPr>
              <w:spacing w:after="0"/>
              <w:rPr>
                <w:rFonts w:ascii="Times New Roman" w:eastAsia="Calibri" w:hAnsi="Times New Roman" w:cs="Times New Roman"/>
                <w:sz w:val="24"/>
                <w:szCs w:val="24"/>
              </w:rPr>
            </w:pPr>
          </w:p>
          <w:p w14:paraId="40EAB5B8"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38</w:t>
            </w:r>
          </w:p>
        </w:tc>
        <w:tc>
          <w:tcPr>
            <w:tcW w:w="990" w:type="dxa"/>
            <w:tcBorders>
              <w:left w:val="nil"/>
              <w:bottom w:val="nil"/>
              <w:right w:val="nil"/>
            </w:tcBorders>
            <w:shd w:val="clear" w:color="auto" w:fill="auto"/>
          </w:tcPr>
          <w:p w14:paraId="074A2D76" w14:textId="77777777" w:rsidR="00A50BBD" w:rsidRPr="00865EBC" w:rsidRDefault="00A50BBD" w:rsidP="006E4EB0">
            <w:pPr>
              <w:spacing w:after="0"/>
              <w:rPr>
                <w:rFonts w:ascii="Times New Roman" w:eastAsia="Calibri" w:hAnsi="Times New Roman" w:cs="Times New Roman"/>
                <w:sz w:val="24"/>
                <w:szCs w:val="24"/>
              </w:rPr>
            </w:pPr>
          </w:p>
          <w:p w14:paraId="43BEC4A2"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37</w:t>
            </w:r>
          </w:p>
        </w:tc>
        <w:tc>
          <w:tcPr>
            <w:tcW w:w="918" w:type="dxa"/>
            <w:tcBorders>
              <w:left w:val="nil"/>
              <w:bottom w:val="nil"/>
            </w:tcBorders>
            <w:shd w:val="clear" w:color="auto" w:fill="auto"/>
          </w:tcPr>
          <w:p w14:paraId="088A609C" w14:textId="77777777" w:rsidR="00A50BBD" w:rsidRPr="00865EBC" w:rsidRDefault="00A50BBD" w:rsidP="006E4EB0">
            <w:pPr>
              <w:spacing w:after="0"/>
              <w:rPr>
                <w:rFonts w:ascii="Times New Roman" w:eastAsia="Calibri" w:hAnsi="Times New Roman" w:cs="Times New Roman"/>
                <w:sz w:val="24"/>
                <w:szCs w:val="24"/>
              </w:rPr>
            </w:pPr>
          </w:p>
          <w:p w14:paraId="3FA8E769"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42</w:t>
            </w:r>
          </w:p>
        </w:tc>
      </w:tr>
      <w:tr w:rsidR="00A50BBD" w:rsidRPr="00865EBC" w14:paraId="06BB1999" w14:textId="77777777" w:rsidTr="006E4EB0">
        <w:tc>
          <w:tcPr>
            <w:tcW w:w="5598" w:type="dxa"/>
            <w:tcBorders>
              <w:top w:val="nil"/>
              <w:bottom w:val="nil"/>
              <w:right w:val="nil"/>
            </w:tcBorders>
            <w:shd w:val="clear" w:color="auto" w:fill="auto"/>
          </w:tcPr>
          <w:p w14:paraId="3953FB4C" w14:textId="77777777" w:rsidR="00A50BBD" w:rsidRPr="00865EBC" w:rsidRDefault="00A50BBD" w:rsidP="006E4EB0">
            <w:pPr>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Реален раст на БДП</w:t>
            </w:r>
          </w:p>
        </w:tc>
        <w:tc>
          <w:tcPr>
            <w:tcW w:w="1080" w:type="dxa"/>
            <w:tcBorders>
              <w:top w:val="nil"/>
              <w:left w:val="nil"/>
              <w:bottom w:val="nil"/>
              <w:right w:val="nil"/>
            </w:tcBorders>
            <w:shd w:val="clear" w:color="auto" w:fill="auto"/>
          </w:tcPr>
          <w:p w14:paraId="65DC6DDF"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2,9</w:t>
            </w:r>
          </w:p>
        </w:tc>
        <w:tc>
          <w:tcPr>
            <w:tcW w:w="990" w:type="dxa"/>
            <w:tcBorders>
              <w:top w:val="nil"/>
              <w:left w:val="nil"/>
              <w:bottom w:val="nil"/>
              <w:right w:val="nil"/>
            </w:tcBorders>
            <w:shd w:val="clear" w:color="auto" w:fill="auto"/>
          </w:tcPr>
          <w:p w14:paraId="546FE6FE"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3,2</w:t>
            </w:r>
          </w:p>
        </w:tc>
        <w:tc>
          <w:tcPr>
            <w:tcW w:w="990" w:type="dxa"/>
            <w:tcBorders>
              <w:top w:val="nil"/>
              <w:left w:val="nil"/>
              <w:bottom w:val="nil"/>
              <w:right w:val="nil"/>
            </w:tcBorders>
            <w:shd w:val="clear" w:color="auto" w:fill="auto"/>
          </w:tcPr>
          <w:p w14:paraId="63FD7616"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-6,1</w:t>
            </w:r>
          </w:p>
        </w:tc>
        <w:tc>
          <w:tcPr>
            <w:tcW w:w="918" w:type="dxa"/>
            <w:tcBorders>
              <w:top w:val="nil"/>
              <w:left w:val="nil"/>
              <w:bottom w:val="nil"/>
            </w:tcBorders>
            <w:shd w:val="clear" w:color="auto" w:fill="auto"/>
          </w:tcPr>
          <w:p w14:paraId="0DA825B4"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4,0</w:t>
            </w:r>
          </w:p>
        </w:tc>
      </w:tr>
      <w:tr w:rsidR="00A50BBD" w:rsidRPr="00865EBC" w14:paraId="5BFEDB09" w14:textId="77777777" w:rsidTr="006E4EB0">
        <w:tc>
          <w:tcPr>
            <w:tcW w:w="5598" w:type="dxa"/>
            <w:tcBorders>
              <w:top w:val="nil"/>
              <w:bottom w:val="nil"/>
              <w:right w:val="nil"/>
            </w:tcBorders>
            <w:shd w:val="clear" w:color="auto" w:fill="auto"/>
          </w:tcPr>
          <w:p w14:paraId="52D1C6B1"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b/>
                <w:bCs/>
                <w:sz w:val="24"/>
                <w:szCs w:val="24"/>
              </w:rPr>
              <w:t xml:space="preserve">Стапка на економска активност на населението на возраст 15-64 години </w:t>
            </w:r>
            <w:r w:rsidRPr="00865EBC">
              <w:rPr>
                <w:rFonts w:ascii="Times New Roman" w:eastAsia="Calibri" w:hAnsi="Times New Roman" w:cs="Times New Roman"/>
                <w:sz w:val="24"/>
                <w:szCs w:val="24"/>
              </w:rPr>
              <w:t>(%), вкупно</w:t>
            </w:r>
            <w:r w:rsidRPr="00865EBC">
              <w:rPr>
                <w:rFonts w:ascii="Times New Roman" w:eastAsia="Calibri" w:hAnsi="Times New Roman" w:cs="Times New Roman"/>
                <w:sz w:val="24"/>
                <w:szCs w:val="24"/>
                <w:vertAlign w:val="superscript"/>
              </w:rPr>
              <w:t>1)</w:t>
            </w:r>
          </w:p>
          <w:p w14:paraId="54C05269"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жени</w:t>
            </w:r>
          </w:p>
          <w:p w14:paraId="71266560"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мажи</w:t>
            </w:r>
          </w:p>
        </w:tc>
        <w:tc>
          <w:tcPr>
            <w:tcW w:w="1080" w:type="dxa"/>
            <w:tcBorders>
              <w:top w:val="nil"/>
              <w:left w:val="nil"/>
              <w:bottom w:val="nil"/>
              <w:right w:val="nil"/>
            </w:tcBorders>
            <w:shd w:val="clear" w:color="auto" w:fill="auto"/>
          </w:tcPr>
          <w:p w14:paraId="690C0EE8" w14:textId="77777777" w:rsidR="00A50BBD" w:rsidRPr="00865EBC" w:rsidRDefault="00A50BBD" w:rsidP="006E4EB0">
            <w:pPr>
              <w:spacing w:after="0"/>
              <w:rPr>
                <w:rFonts w:ascii="Times New Roman" w:eastAsia="Calibri" w:hAnsi="Times New Roman" w:cs="Times New Roman"/>
                <w:sz w:val="24"/>
                <w:szCs w:val="24"/>
              </w:rPr>
            </w:pPr>
          </w:p>
          <w:p w14:paraId="0EA4BE04"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65,1</w:t>
            </w:r>
          </w:p>
          <w:p w14:paraId="611A49DC"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52,0</w:t>
            </w:r>
          </w:p>
          <w:p w14:paraId="489075C8"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77,8</w:t>
            </w:r>
          </w:p>
        </w:tc>
        <w:tc>
          <w:tcPr>
            <w:tcW w:w="990" w:type="dxa"/>
            <w:tcBorders>
              <w:top w:val="nil"/>
              <w:left w:val="nil"/>
              <w:bottom w:val="nil"/>
              <w:right w:val="nil"/>
            </w:tcBorders>
            <w:shd w:val="clear" w:color="auto" w:fill="auto"/>
          </w:tcPr>
          <w:p w14:paraId="690352F8" w14:textId="77777777" w:rsidR="00A50BBD" w:rsidRPr="00865EBC" w:rsidRDefault="00A50BBD" w:rsidP="006E4EB0">
            <w:pPr>
              <w:spacing w:after="0"/>
              <w:rPr>
                <w:rFonts w:ascii="Times New Roman" w:eastAsia="Calibri" w:hAnsi="Times New Roman" w:cs="Times New Roman"/>
                <w:sz w:val="24"/>
                <w:szCs w:val="24"/>
              </w:rPr>
            </w:pPr>
          </w:p>
          <w:p w14:paraId="3F92E1B7"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66,3</w:t>
            </w:r>
          </w:p>
          <w:p w14:paraId="00E9F95C"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54,8</w:t>
            </w:r>
          </w:p>
          <w:p w14:paraId="2B0FE3AA"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77,3</w:t>
            </w:r>
          </w:p>
        </w:tc>
        <w:tc>
          <w:tcPr>
            <w:tcW w:w="990" w:type="dxa"/>
            <w:tcBorders>
              <w:top w:val="nil"/>
              <w:left w:val="nil"/>
              <w:bottom w:val="nil"/>
              <w:right w:val="nil"/>
            </w:tcBorders>
            <w:shd w:val="clear" w:color="auto" w:fill="auto"/>
          </w:tcPr>
          <w:p w14:paraId="1B9DAECD" w14:textId="77777777" w:rsidR="00A50BBD" w:rsidRPr="00865EBC" w:rsidRDefault="00A50BBD" w:rsidP="006E4EB0">
            <w:pPr>
              <w:spacing w:after="0"/>
              <w:rPr>
                <w:rFonts w:ascii="Times New Roman" w:eastAsia="Calibri" w:hAnsi="Times New Roman" w:cs="Times New Roman"/>
                <w:sz w:val="24"/>
                <w:szCs w:val="24"/>
              </w:rPr>
            </w:pPr>
          </w:p>
          <w:p w14:paraId="0B47BCBD"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65,5</w:t>
            </w:r>
          </w:p>
          <w:p w14:paraId="5A205AB7"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54,0</w:t>
            </w:r>
          </w:p>
          <w:p w14:paraId="2644FB95"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76,7</w:t>
            </w:r>
          </w:p>
        </w:tc>
        <w:tc>
          <w:tcPr>
            <w:tcW w:w="918" w:type="dxa"/>
            <w:tcBorders>
              <w:top w:val="nil"/>
              <w:left w:val="nil"/>
              <w:bottom w:val="nil"/>
            </w:tcBorders>
            <w:shd w:val="clear" w:color="auto" w:fill="auto"/>
          </w:tcPr>
          <w:p w14:paraId="3F743DE0" w14:textId="77777777" w:rsidR="00A50BBD" w:rsidRPr="00865EBC" w:rsidRDefault="00A50BBD" w:rsidP="006E4EB0">
            <w:pPr>
              <w:spacing w:after="0"/>
              <w:rPr>
                <w:rFonts w:ascii="Times New Roman" w:eastAsia="Calibri" w:hAnsi="Times New Roman" w:cs="Times New Roman"/>
                <w:sz w:val="24"/>
                <w:szCs w:val="24"/>
              </w:rPr>
            </w:pPr>
          </w:p>
          <w:p w14:paraId="69767D6F"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65,5</w:t>
            </w:r>
          </w:p>
          <w:p w14:paraId="01B6FAF9" w14:textId="77777777" w:rsidR="00A50BBD" w:rsidRPr="00865EBC" w:rsidRDefault="00A50BBD" w:rsidP="006E4EB0">
            <w:pPr>
              <w:shd w:val="clear" w:color="auto" w:fill="BDD6EE"/>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53,4</w:t>
            </w:r>
          </w:p>
          <w:p w14:paraId="63C6C84B" w14:textId="77777777" w:rsidR="00A50BBD" w:rsidRPr="00865EBC" w:rsidRDefault="00A50BBD" w:rsidP="006E4EB0">
            <w:pPr>
              <w:shd w:val="clear" w:color="auto" w:fill="BDD6EE"/>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77,1</w:t>
            </w:r>
          </w:p>
        </w:tc>
      </w:tr>
      <w:tr w:rsidR="00A50BBD" w:rsidRPr="00865EBC" w14:paraId="1A5DB152" w14:textId="77777777" w:rsidTr="006E4EB0">
        <w:tc>
          <w:tcPr>
            <w:tcW w:w="5598" w:type="dxa"/>
            <w:tcBorders>
              <w:top w:val="nil"/>
              <w:bottom w:val="nil"/>
              <w:right w:val="nil"/>
            </w:tcBorders>
            <w:shd w:val="clear" w:color="auto" w:fill="auto"/>
          </w:tcPr>
          <w:p w14:paraId="5B25C76D"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b/>
                <w:bCs/>
                <w:sz w:val="24"/>
                <w:szCs w:val="24"/>
              </w:rPr>
              <w:t xml:space="preserve">Стапка на невработеност на населението на возраст 15-64 години </w:t>
            </w:r>
            <w:r w:rsidRPr="00865EBC">
              <w:rPr>
                <w:rFonts w:ascii="Times New Roman" w:eastAsia="Calibri" w:hAnsi="Times New Roman" w:cs="Times New Roman"/>
                <w:sz w:val="24"/>
                <w:szCs w:val="24"/>
              </w:rPr>
              <w:t>(%), вкупно</w:t>
            </w:r>
            <w:r w:rsidRPr="00865EBC">
              <w:rPr>
                <w:rFonts w:ascii="Times New Roman" w:eastAsia="Calibri" w:hAnsi="Times New Roman" w:cs="Times New Roman"/>
                <w:sz w:val="24"/>
                <w:szCs w:val="24"/>
                <w:vertAlign w:val="superscript"/>
              </w:rPr>
              <w:t>1)</w:t>
            </w:r>
          </w:p>
          <w:p w14:paraId="536094A9"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жени</w:t>
            </w:r>
          </w:p>
          <w:p w14:paraId="3B33FF19"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i/>
                <w:iCs/>
                <w:sz w:val="24"/>
                <w:szCs w:val="24"/>
              </w:rPr>
              <w:t>мажи</w:t>
            </w:r>
          </w:p>
        </w:tc>
        <w:tc>
          <w:tcPr>
            <w:tcW w:w="1080" w:type="dxa"/>
            <w:tcBorders>
              <w:top w:val="nil"/>
              <w:left w:val="nil"/>
              <w:bottom w:val="nil"/>
              <w:right w:val="nil"/>
            </w:tcBorders>
            <w:shd w:val="clear" w:color="auto" w:fill="auto"/>
          </w:tcPr>
          <w:p w14:paraId="54CE248B" w14:textId="77777777" w:rsidR="00A50BBD" w:rsidRPr="00865EBC" w:rsidRDefault="00A50BBD" w:rsidP="006E4EB0">
            <w:pPr>
              <w:spacing w:after="0"/>
              <w:rPr>
                <w:rFonts w:ascii="Times New Roman" w:eastAsia="Calibri" w:hAnsi="Times New Roman" w:cs="Times New Roman"/>
                <w:sz w:val="24"/>
                <w:szCs w:val="24"/>
              </w:rPr>
            </w:pPr>
          </w:p>
          <w:p w14:paraId="035CC6C3"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25,2</w:t>
            </w:r>
          </w:p>
          <w:p w14:paraId="1941C749"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24,7</w:t>
            </w:r>
          </w:p>
          <w:p w14:paraId="0B8707F3"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25,5</w:t>
            </w:r>
          </w:p>
        </w:tc>
        <w:tc>
          <w:tcPr>
            <w:tcW w:w="990" w:type="dxa"/>
            <w:tcBorders>
              <w:top w:val="nil"/>
              <w:left w:val="nil"/>
              <w:bottom w:val="nil"/>
              <w:right w:val="nil"/>
            </w:tcBorders>
            <w:shd w:val="clear" w:color="auto" w:fill="auto"/>
          </w:tcPr>
          <w:p w14:paraId="5648B33E" w14:textId="77777777" w:rsidR="00A50BBD" w:rsidRPr="00865EBC" w:rsidRDefault="00A50BBD" w:rsidP="006E4EB0">
            <w:pPr>
              <w:spacing w:after="0"/>
              <w:rPr>
                <w:rFonts w:ascii="Times New Roman" w:eastAsia="Calibri" w:hAnsi="Times New Roman" w:cs="Times New Roman"/>
                <w:sz w:val="24"/>
                <w:szCs w:val="24"/>
              </w:rPr>
            </w:pPr>
          </w:p>
          <w:p w14:paraId="3E1133AE"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17,4</w:t>
            </w:r>
          </w:p>
          <w:p w14:paraId="34F8721A"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18,6</w:t>
            </w:r>
          </w:p>
          <w:p w14:paraId="3A3E2BC2"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16,6</w:t>
            </w:r>
          </w:p>
        </w:tc>
        <w:tc>
          <w:tcPr>
            <w:tcW w:w="990" w:type="dxa"/>
            <w:tcBorders>
              <w:top w:val="nil"/>
              <w:left w:val="nil"/>
              <w:bottom w:val="nil"/>
              <w:right w:val="nil"/>
            </w:tcBorders>
            <w:shd w:val="clear" w:color="auto" w:fill="auto"/>
          </w:tcPr>
          <w:p w14:paraId="7E2182EC" w14:textId="77777777" w:rsidR="00A50BBD" w:rsidRPr="00865EBC" w:rsidRDefault="00A50BBD" w:rsidP="006E4EB0">
            <w:pPr>
              <w:spacing w:after="0"/>
              <w:rPr>
                <w:rFonts w:ascii="Times New Roman" w:eastAsia="Calibri" w:hAnsi="Times New Roman" w:cs="Times New Roman"/>
                <w:sz w:val="24"/>
                <w:szCs w:val="24"/>
              </w:rPr>
            </w:pPr>
          </w:p>
          <w:p w14:paraId="66A88295"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16,6</w:t>
            </w:r>
          </w:p>
          <w:p w14:paraId="69A668DD"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16,1</w:t>
            </w:r>
          </w:p>
          <w:p w14:paraId="3011E537" w14:textId="77777777" w:rsidR="00A50BBD" w:rsidRPr="00865EBC" w:rsidRDefault="00A50BBD" w:rsidP="006E4EB0">
            <w:pPr>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16,9</w:t>
            </w:r>
          </w:p>
        </w:tc>
        <w:tc>
          <w:tcPr>
            <w:tcW w:w="918" w:type="dxa"/>
            <w:tcBorders>
              <w:top w:val="nil"/>
              <w:left w:val="nil"/>
              <w:bottom w:val="nil"/>
            </w:tcBorders>
            <w:shd w:val="clear" w:color="auto" w:fill="auto"/>
          </w:tcPr>
          <w:p w14:paraId="39933D48" w14:textId="77777777" w:rsidR="00A50BBD" w:rsidRPr="00865EBC" w:rsidRDefault="00A50BBD" w:rsidP="006E4EB0">
            <w:pPr>
              <w:spacing w:after="0"/>
              <w:rPr>
                <w:rFonts w:ascii="Times New Roman" w:eastAsia="Calibri" w:hAnsi="Times New Roman" w:cs="Times New Roman"/>
                <w:sz w:val="24"/>
                <w:szCs w:val="24"/>
              </w:rPr>
            </w:pPr>
          </w:p>
          <w:p w14:paraId="60A2C5E0"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15,8</w:t>
            </w:r>
          </w:p>
          <w:p w14:paraId="5F8E1098" w14:textId="77777777" w:rsidR="00A50BBD" w:rsidRPr="00865EBC" w:rsidRDefault="00A50BBD" w:rsidP="006E4EB0">
            <w:pPr>
              <w:shd w:val="clear" w:color="auto" w:fill="BDD6EE"/>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14,7</w:t>
            </w:r>
          </w:p>
          <w:p w14:paraId="681F7879" w14:textId="77777777" w:rsidR="00A50BBD" w:rsidRPr="00865EBC" w:rsidRDefault="00A50BBD" w:rsidP="006E4EB0">
            <w:pPr>
              <w:shd w:val="clear" w:color="auto" w:fill="BDD6EE"/>
              <w:spacing w:after="0"/>
              <w:rPr>
                <w:rFonts w:ascii="Times New Roman" w:eastAsia="Calibri" w:hAnsi="Times New Roman" w:cs="Times New Roman"/>
                <w:i/>
                <w:iCs/>
                <w:sz w:val="24"/>
                <w:szCs w:val="24"/>
              </w:rPr>
            </w:pPr>
            <w:r w:rsidRPr="00865EBC">
              <w:rPr>
                <w:rFonts w:ascii="Times New Roman" w:eastAsia="Calibri" w:hAnsi="Times New Roman" w:cs="Times New Roman"/>
                <w:i/>
                <w:iCs/>
                <w:sz w:val="24"/>
                <w:szCs w:val="24"/>
              </w:rPr>
              <w:t>16,6</w:t>
            </w:r>
          </w:p>
        </w:tc>
      </w:tr>
      <w:tr w:rsidR="00A50BBD" w:rsidRPr="00865EBC" w14:paraId="63B590BA" w14:textId="77777777" w:rsidTr="006E4EB0">
        <w:tc>
          <w:tcPr>
            <w:tcW w:w="5598" w:type="dxa"/>
            <w:tcBorders>
              <w:top w:val="nil"/>
              <w:bottom w:val="nil"/>
              <w:right w:val="nil"/>
            </w:tcBorders>
            <w:shd w:val="clear" w:color="auto" w:fill="auto"/>
          </w:tcPr>
          <w:p w14:paraId="176857D4"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 xml:space="preserve">Вработеност на населението на возраст 15-64 година </w:t>
            </w:r>
            <w:r w:rsidRPr="00865EBC">
              <w:rPr>
                <w:rFonts w:ascii="Times New Roman" w:eastAsia="Calibri" w:hAnsi="Times New Roman" w:cs="Times New Roman"/>
                <w:sz w:val="24"/>
                <w:szCs w:val="24"/>
              </w:rPr>
              <w:t>(годишен раст %)</w:t>
            </w:r>
          </w:p>
        </w:tc>
        <w:tc>
          <w:tcPr>
            <w:tcW w:w="1080" w:type="dxa"/>
            <w:tcBorders>
              <w:top w:val="nil"/>
              <w:left w:val="nil"/>
              <w:bottom w:val="nil"/>
              <w:right w:val="nil"/>
            </w:tcBorders>
            <w:shd w:val="clear" w:color="auto" w:fill="auto"/>
          </w:tcPr>
          <w:p w14:paraId="18FE2CF8" w14:textId="77777777" w:rsidR="00A50BBD" w:rsidRPr="00865EBC" w:rsidRDefault="00A50BBD" w:rsidP="006E4EB0">
            <w:pPr>
              <w:spacing w:after="0"/>
              <w:rPr>
                <w:rFonts w:ascii="Times New Roman" w:eastAsia="Calibri" w:hAnsi="Times New Roman" w:cs="Times New Roman"/>
                <w:sz w:val="24"/>
                <w:szCs w:val="24"/>
              </w:rPr>
            </w:pPr>
          </w:p>
          <w:p w14:paraId="6A0FEE79"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2,5</w:t>
            </w:r>
          </w:p>
        </w:tc>
        <w:tc>
          <w:tcPr>
            <w:tcW w:w="990" w:type="dxa"/>
            <w:tcBorders>
              <w:top w:val="nil"/>
              <w:left w:val="nil"/>
              <w:bottom w:val="nil"/>
              <w:right w:val="nil"/>
            </w:tcBorders>
            <w:shd w:val="clear" w:color="auto" w:fill="auto"/>
          </w:tcPr>
          <w:p w14:paraId="003C83A2" w14:textId="77777777" w:rsidR="00A50BBD" w:rsidRPr="00865EBC" w:rsidRDefault="00A50BBD" w:rsidP="006E4EB0">
            <w:pPr>
              <w:spacing w:after="0"/>
              <w:rPr>
                <w:rFonts w:ascii="Times New Roman" w:eastAsia="Calibri" w:hAnsi="Times New Roman" w:cs="Times New Roman"/>
                <w:sz w:val="24"/>
                <w:szCs w:val="24"/>
              </w:rPr>
            </w:pPr>
          </w:p>
          <w:p w14:paraId="2C929201"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5,4</w:t>
            </w:r>
          </w:p>
        </w:tc>
        <w:tc>
          <w:tcPr>
            <w:tcW w:w="990" w:type="dxa"/>
            <w:tcBorders>
              <w:top w:val="nil"/>
              <w:left w:val="nil"/>
              <w:bottom w:val="nil"/>
              <w:right w:val="nil"/>
            </w:tcBorders>
            <w:shd w:val="clear" w:color="auto" w:fill="auto"/>
          </w:tcPr>
          <w:p w14:paraId="0DF7F407" w14:textId="77777777" w:rsidR="00A50BBD" w:rsidRPr="00865EBC" w:rsidRDefault="00A50BBD" w:rsidP="006E4EB0">
            <w:pPr>
              <w:spacing w:after="0"/>
              <w:rPr>
                <w:rFonts w:ascii="Times New Roman" w:eastAsia="Calibri" w:hAnsi="Times New Roman" w:cs="Times New Roman"/>
                <w:sz w:val="24"/>
                <w:szCs w:val="24"/>
              </w:rPr>
            </w:pPr>
          </w:p>
          <w:p w14:paraId="7C59733A"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-0,5</w:t>
            </w:r>
          </w:p>
        </w:tc>
        <w:tc>
          <w:tcPr>
            <w:tcW w:w="918" w:type="dxa"/>
            <w:tcBorders>
              <w:top w:val="nil"/>
              <w:left w:val="nil"/>
              <w:bottom w:val="nil"/>
            </w:tcBorders>
            <w:shd w:val="clear" w:color="auto" w:fill="auto"/>
          </w:tcPr>
          <w:p w14:paraId="0EA66B3D" w14:textId="77777777" w:rsidR="00A50BBD" w:rsidRPr="00865EBC" w:rsidRDefault="00A50BBD" w:rsidP="006E4EB0">
            <w:pPr>
              <w:spacing w:after="0"/>
              <w:rPr>
                <w:rFonts w:ascii="Times New Roman" w:eastAsia="Calibri" w:hAnsi="Times New Roman" w:cs="Times New Roman"/>
                <w:sz w:val="24"/>
                <w:szCs w:val="24"/>
              </w:rPr>
            </w:pPr>
          </w:p>
          <w:p w14:paraId="216CBDAE"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0,2</w:t>
            </w:r>
          </w:p>
        </w:tc>
      </w:tr>
      <w:tr w:rsidR="00A50BBD" w:rsidRPr="00865EBC" w14:paraId="2078F48D" w14:textId="77777777" w:rsidTr="006E4EB0">
        <w:tc>
          <w:tcPr>
            <w:tcW w:w="5598" w:type="dxa"/>
            <w:tcBorders>
              <w:top w:val="nil"/>
              <w:bottom w:val="nil"/>
              <w:right w:val="nil"/>
            </w:tcBorders>
            <w:shd w:val="clear" w:color="auto" w:fill="auto"/>
          </w:tcPr>
          <w:p w14:paraId="477E2B94"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lastRenderedPageBreak/>
              <w:t xml:space="preserve">Номинални плати </w:t>
            </w:r>
            <w:r w:rsidRPr="00865EBC">
              <w:rPr>
                <w:rFonts w:ascii="Times New Roman" w:eastAsia="Calibri" w:hAnsi="Times New Roman" w:cs="Times New Roman"/>
                <w:sz w:val="24"/>
                <w:szCs w:val="24"/>
              </w:rPr>
              <w:t>(годишен раст %)</w:t>
            </w:r>
          </w:p>
        </w:tc>
        <w:tc>
          <w:tcPr>
            <w:tcW w:w="1080" w:type="dxa"/>
            <w:tcBorders>
              <w:top w:val="nil"/>
              <w:left w:val="nil"/>
              <w:bottom w:val="nil"/>
              <w:right w:val="nil"/>
            </w:tcBorders>
            <w:shd w:val="clear" w:color="auto" w:fill="auto"/>
          </w:tcPr>
          <w:p w14:paraId="4E5A97D8"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2,5</w:t>
            </w:r>
          </w:p>
        </w:tc>
        <w:tc>
          <w:tcPr>
            <w:tcW w:w="990" w:type="dxa"/>
            <w:tcBorders>
              <w:top w:val="nil"/>
              <w:left w:val="nil"/>
              <w:bottom w:val="nil"/>
              <w:right w:val="nil"/>
            </w:tcBorders>
            <w:shd w:val="clear" w:color="auto" w:fill="auto"/>
          </w:tcPr>
          <w:p w14:paraId="04801376"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5,2</w:t>
            </w:r>
          </w:p>
        </w:tc>
        <w:tc>
          <w:tcPr>
            <w:tcW w:w="990" w:type="dxa"/>
            <w:tcBorders>
              <w:top w:val="nil"/>
              <w:left w:val="nil"/>
              <w:bottom w:val="nil"/>
              <w:right w:val="nil"/>
            </w:tcBorders>
            <w:shd w:val="clear" w:color="auto" w:fill="auto"/>
          </w:tcPr>
          <w:p w14:paraId="40774F1D"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8,3</w:t>
            </w:r>
          </w:p>
        </w:tc>
        <w:tc>
          <w:tcPr>
            <w:tcW w:w="918" w:type="dxa"/>
            <w:tcBorders>
              <w:top w:val="nil"/>
              <w:left w:val="nil"/>
              <w:bottom w:val="nil"/>
            </w:tcBorders>
            <w:shd w:val="clear" w:color="auto" w:fill="auto"/>
          </w:tcPr>
          <w:p w14:paraId="3C22DCAF"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5,7</w:t>
            </w:r>
          </w:p>
        </w:tc>
      </w:tr>
      <w:tr w:rsidR="00A50BBD" w:rsidRPr="00865EBC" w14:paraId="1A7B4334" w14:textId="77777777" w:rsidTr="006E4EB0">
        <w:tc>
          <w:tcPr>
            <w:tcW w:w="5598" w:type="dxa"/>
            <w:tcBorders>
              <w:top w:val="nil"/>
              <w:bottom w:val="nil"/>
              <w:right w:val="nil"/>
            </w:tcBorders>
            <w:shd w:val="clear" w:color="auto" w:fill="auto"/>
          </w:tcPr>
          <w:p w14:paraId="5B4A89EE"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 xml:space="preserve">Индекс на потрошувачки цени </w:t>
            </w:r>
            <w:r w:rsidRPr="00865EBC">
              <w:rPr>
                <w:rFonts w:ascii="Times New Roman" w:eastAsia="Calibri" w:hAnsi="Times New Roman" w:cs="Times New Roman"/>
                <w:sz w:val="24"/>
                <w:szCs w:val="24"/>
              </w:rPr>
              <w:t>(годишен раст %)</w:t>
            </w:r>
          </w:p>
        </w:tc>
        <w:tc>
          <w:tcPr>
            <w:tcW w:w="1080" w:type="dxa"/>
            <w:tcBorders>
              <w:top w:val="nil"/>
              <w:left w:val="nil"/>
              <w:bottom w:val="nil"/>
              <w:right w:val="nil"/>
            </w:tcBorders>
            <w:shd w:val="clear" w:color="auto" w:fill="auto"/>
          </w:tcPr>
          <w:p w14:paraId="559A5EF4"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0,8</w:t>
            </w:r>
          </w:p>
        </w:tc>
        <w:tc>
          <w:tcPr>
            <w:tcW w:w="990" w:type="dxa"/>
            <w:tcBorders>
              <w:top w:val="nil"/>
              <w:left w:val="nil"/>
              <w:bottom w:val="nil"/>
              <w:right w:val="nil"/>
            </w:tcBorders>
            <w:shd w:val="clear" w:color="auto" w:fill="auto"/>
          </w:tcPr>
          <w:p w14:paraId="1E399B46"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0,8</w:t>
            </w:r>
          </w:p>
        </w:tc>
        <w:tc>
          <w:tcPr>
            <w:tcW w:w="990" w:type="dxa"/>
            <w:tcBorders>
              <w:top w:val="nil"/>
              <w:left w:val="nil"/>
              <w:bottom w:val="nil"/>
              <w:right w:val="nil"/>
            </w:tcBorders>
            <w:shd w:val="clear" w:color="auto" w:fill="auto"/>
          </w:tcPr>
          <w:p w14:paraId="23067DBC"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1,2</w:t>
            </w:r>
          </w:p>
        </w:tc>
        <w:tc>
          <w:tcPr>
            <w:tcW w:w="918" w:type="dxa"/>
            <w:tcBorders>
              <w:top w:val="nil"/>
              <w:left w:val="nil"/>
              <w:bottom w:val="nil"/>
            </w:tcBorders>
            <w:shd w:val="clear" w:color="auto" w:fill="auto"/>
          </w:tcPr>
          <w:p w14:paraId="4B125CB4"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3,2</w:t>
            </w:r>
          </w:p>
        </w:tc>
      </w:tr>
      <w:tr w:rsidR="00A50BBD" w:rsidRPr="00865EBC" w14:paraId="3E2EED32" w14:textId="77777777" w:rsidTr="006E4EB0">
        <w:tc>
          <w:tcPr>
            <w:tcW w:w="5598" w:type="dxa"/>
            <w:tcBorders>
              <w:top w:val="nil"/>
              <w:bottom w:val="nil"/>
              <w:right w:val="nil"/>
            </w:tcBorders>
            <w:shd w:val="clear" w:color="auto" w:fill="auto"/>
          </w:tcPr>
          <w:p w14:paraId="05CDE541"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Девизен курс во однос на ЕУР</w:t>
            </w:r>
          </w:p>
        </w:tc>
        <w:tc>
          <w:tcPr>
            <w:tcW w:w="1080" w:type="dxa"/>
            <w:tcBorders>
              <w:top w:val="nil"/>
              <w:left w:val="nil"/>
              <w:bottom w:val="nil"/>
              <w:right w:val="nil"/>
            </w:tcBorders>
            <w:shd w:val="clear" w:color="auto" w:fill="auto"/>
          </w:tcPr>
          <w:p w14:paraId="46E0AD67"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61,58</w:t>
            </w:r>
          </w:p>
        </w:tc>
        <w:tc>
          <w:tcPr>
            <w:tcW w:w="990" w:type="dxa"/>
            <w:tcBorders>
              <w:top w:val="nil"/>
              <w:left w:val="nil"/>
              <w:bottom w:val="nil"/>
              <w:right w:val="nil"/>
            </w:tcBorders>
            <w:shd w:val="clear" w:color="auto" w:fill="auto"/>
          </w:tcPr>
          <w:p w14:paraId="34692A80"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61,51</w:t>
            </w:r>
          </w:p>
        </w:tc>
        <w:tc>
          <w:tcPr>
            <w:tcW w:w="990" w:type="dxa"/>
            <w:tcBorders>
              <w:top w:val="nil"/>
              <w:left w:val="nil"/>
              <w:bottom w:val="nil"/>
              <w:right w:val="nil"/>
            </w:tcBorders>
            <w:shd w:val="clear" w:color="auto" w:fill="auto"/>
          </w:tcPr>
          <w:p w14:paraId="4190416C"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61,67</w:t>
            </w:r>
          </w:p>
        </w:tc>
        <w:tc>
          <w:tcPr>
            <w:tcW w:w="918" w:type="dxa"/>
            <w:tcBorders>
              <w:top w:val="nil"/>
              <w:left w:val="nil"/>
              <w:bottom w:val="nil"/>
            </w:tcBorders>
            <w:shd w:val="clear" w:color="auto" w:fill="auto"/>
          </w:tcPr>
          <w:p w14:paraId="562AACAB"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61,63</w:t>
            </w:r>
          </w:p>
        </w:tc>
      </w:tr>
      <w:tr w:rsidR="00A50BBD" w:rsidRPr="00865EBC" w14:paraId="7698DAF0" w14:textId="77777777" w:rsidTr="006E4EB0">
        <w:tc>
          <w:tcPr>
            <w:tcW w:w="5598" w:type="dxa"/>
            <w:tcBorders>
              <w:top w:val="nil"/>
              <w:bottom w:val="nil"/>
              <w:right w:val="nil"/>
            </w:tcBorders>
            <w:shd w:val="clear" w:color="auto" w:fill="auto"/>
          </w:tcPr>
          <w:p w14:paraId="294E5F2C"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 xml:space="preserve">Салдо на тековната сметка </w:t>
            </w:r>
            <w:r w:rsidRPr="00865EBC">
              <w:rPr>
                <w:rFonts w:ascii="Times New Roman" w:eastAsia="Calibri" w:hAnsi="Times New Roman" w:cs="Times New Roman"/>
                <w:sz w:val="24"/>
                <w:szCs w:val="24"/>
              </w:rPr>
              <w:t>(% од БДП)</w:t>
            </w:r>
          </w:p>
        </w:tc>
        <w:tc>
          <w:tcPr>
            <w:tcW w:w="1080" w:type="dxa"/>
            <w:tcBorders>
              <w:top w:val="nil"/>
              <w:left w:val="nil"/>
              <w:bottom w:val="nil"/>
              <w:right w:val="nil"/>
            </w:tcBorders>
            <w:shd w:val="clear" w:color="auto" w:fill="auto"/>
          </w:tcPr>
          <w:p w14:paraId="3EA5E3D1"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-1,3</w:t>
            </w:r>
          </w:p>
        </w:tc>
        <w:tc>
          <w:tcPr>
            <w:tcW w:w="990" w:type="dxa"/>
            <w:tcBorders>
              <w:top w:val="nil"/>
              <w:left w:val="nil"/>
              <w:bottom w:val="nil"/>
              <w:right w:val="nil"/>
            </w:tcBorders>
            <w:shd w:val="clear" w:color="auto" w:fill="auto"/>
          </w:tcPr>
          <w:p w14:paraId="7D2191AE"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-3,3</w:t>
            </w:r>
          </w:p>
        </w:tc>
        <w:tc>
          <w:tcPr>
            <w:tcW w:w="990" w:type="dxa"/>
            <w:tcBorders>
              <w:top w:val="nil"/>
              <w:left w:val="nil"/>
              <w:bottom w:val="nil"/>
              <w:right w:val="nil"/>
            </w:tcBorders>
            <w:shd w:val="clear" w:color="auto" w:fill="auto"/>
          </w:tcPr>
          <w:p w14:paraId="0BDEA85D"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-3,4</w:t>
            </w:r>
          </w:p>
        </w:tc>
        <w:tc>
          <w:tcPr>
            <w:tcW w:w="918" w:type="dxa"/>
            <w:tcBorders>
              <w:top w:val="nil"/>
              <w:left w:val="nil"/>
              <w:bottom w:val="nil"/>
            </w:tcBorders>
            <w:shd w:val="clear" w:color="auto" w:fill="auto"/>
          </w:tcPr>
          <w:p w14:paraId="77EDBDD7"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-3,5</w:t>
            </w:r>
          </w:p>
        </w:tc>
      </w:tr>
      <w:tr w:rsidR="00A50BBD" w:rsidRPr="00865EBC" w14:paraId="3B25A277" w14:textId="77777777" w:rsidTr="006E4EB0">
        <w:tc>
          <w:tcPr>
            <w:tcW w:w="5598" w:type="dxa"/>
            <w:tcBorders>
              <w:top w:val="nil"/>
              <w:bottom w:val="nil"/>
              <w:right w:val="nil"/>
            </w:tcBorders>
            <w:shd w:val="clear" w:color="auto" w:fill="auto"/>
          </w:tcPr>
          <w:p w14:paraId="61141083"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 xml:space="preserve">Нето-странски директни инвестиции, СДИ </w:t>
            </w:r>
            <w:r w:rsidRPr="00865EBC">
              <w:rPr>
                <w:rFonts w:ascii="Times New Roman" w:eastAsia="Calibri" w:hAnsi="Times New Roman" w:cs="Times New Roman"/>
                <w:sz w:val="24"/>
                <w:szCs w:val="24"/>
              </w:rPr>
              <w:t>(% од БДП)</w:t>
            </w:r>
          </w:p>
        </w:tc>
        <w:tc>
          <w:tcPr>
            <w:tcW w:w="1080" w:type="dxa"/>
            <w:tcBorders>
              <w:top w:val="nil"/>
              <w:left w:val="nil"/>
              <w:bottom w:val="nil"/>
              <w:right w:val="nil"/>
            </w:tcBorders>
            <w:shd w:val="clear" w:color="auto" w:fill="auto"/>
          </w:tcPr>
          <w:p w14:paraId="59CA5E03" w14:textId="77777777" w:rsidR="00A50BBD" w:rsidRPr="00865EBC" w:rsidRDefault="00A50BBD" w:rsidP="006E4EB0">
            <w:pPr>
              <w:spacing w:after="0"/>
              <w:rPr>
                <w:rFonts w:ascii="Times New Roman" w:eastAsia="Calibri" w:hAnsi="Times New Roman" w:cs="Times New Roman"/>
                <w:sz w:val="24"/>
                <w:szCs w:val="24"/>
              </w:rPr>
            </w:pPr>
          </w:p>
          <w:p w14:paraId="43856C8F"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3,0</w:t>
            </w:r>
          </w:p>
        </w:tc>
        <w:tc>
          <w:tcPr>
            <w:tcW w:w="990" w:type="dxa"/>
            <w:tcBorders>
              <w:top w:val="nil"/>
              <w:left w:val="nil"/>
              <w:bottom w:val="nil"/>
              <w:right w:val="nil"/>
            </w:tcBorders>
            <w:shd w:val="clear" w:color="auto" w:fill="auto"/>
          </w:tcPr>
          <w:p w14:paraId="70A2911F" w14:textId="77777777" w:rsidR="00A50BBD" w:rsidRPr="00865EBC" w:rsidRDefault="00A50BBD" w:rsidP="006E4EB0">
            <w:pPr>
              <w:spacing w:after="0"/>
              <w:rPr>
                <w:rFonts w:ascii="Times New Roman" w:eastAsia="Calibri" w:hAnsi="Times New Roman" w:cs="Times New Roman"/>
                <w:sz w:val="24"/>
                <w:szCs w:val="24"/>
              </w:rPr>
            </w:pPr>
          </w:p>
          <w:p w14:paraId="27A65709"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3,2</w:t>
            </w:r>
          </w:p>
        </w:tc>
        <w:tc>
          <w:tcPr>
            <w:tcW w:w="990" w:type="dxa"/>
            <w:tcBorders>
              <w:top w:val="nil"/>
              <w:left w:val="nil"/>
              <w:bottom w:val="nil"/>
              <w:right w:val="nil"/>
            </w:tcBorders>
            <w:shd w:val="clear" w:color="auto" w:fill="auto"/>
          </w:tcPr>
          <w:p w14:paraId="3365C904" w14:textId="77777777" w:rsidR="00A50BBD" w:rsidRPr="00865EBC" w:rsidRDefault="00A50BBD" w:rsidP="006E4EB0">
            <w:pPr>
              <w:spacing w:after="0"/>
              <w:rPr>
                <w:rFonts w:ascii="Times New Roman" w:eastAsia="Calibri" w:hAnsi="Times New Roman" w:cs="Times New Roman"/>
                <w:sz w:val="24"/>
                <w:szCs w:val="24"/>
              </w:rPr>
            </w:pPr>
          </w:p>
          <w:p w14:paraId="62DD62A3"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1,5</w:t>
            </w:r>
          </w:p>
        </w:tc>
        <w:tc>
          <w:tcPr>
            <w:tcW w:w="918" w:type="dxa"/>
            <w:tcBorders>
              <w:top w:val="nil"/>
              <w:left w:val="nil"/>
              <w:bottom w:val="nil"/>
            </w:tcBorders>
            <w:shd w:val="clear" w:color="auto" w:fill="auto"/>
          </w:tcPr>
          <w:p w14:paraId="621DEC4B" w14:textId="77777777" w:rsidR="00A50BBD" w:rsidRPr="00865EBC" w:rsidRDefault="00A50BBD" w:rsidP="006E4EB0">
            <w:pPr>
              <w:spacing w:after="0"/>
              <w:rPr>
                <w:rFonts w:ascii="Times New Roman" w:eastAsia="Calibri" w:hAnsi="Times New Roman" w:cs="Times New Roman"/>
                <w:sz w:val="24"/>
                <w:szCs w:val="24"/>
              </w:rPr>
            </w:pPr>
          </w:p>
          <w:p w14:paraId="30FED45C"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3,7</w:t>
            </w:r>
          </w:p>
        </w:tc>
      </w:tr>
      <w:tr w:rsidR="00A50BBD" w:rsidRPr="00865EBC" w14:paraId="0F05C3E8" w14:textId="77777777" w:rsidTr="006E4EB0">
        <w:tc>
          <w:tcPr>
            <w:tcW w:w="5598" w:type="dxa"/>
            <w:tcBorders>
              <w:top w:val="nil"/>
              <w:bottom w:val="nil"/>
              <w:right w:val="nil"/>
            </w:tcBorders>
            <w:shd w:val="clear" w:color="auto" w:fill="auto"/>
          </w:tcPr>
          <w:p w14:paraId="2DD68F4A"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 xml:space="preserve">Општ државен биланс </w:t>
            </w:r>
            <w:r w:rsidRPr="00865EBC">
              <w:rPr>
                <w:rFonts w:ascii="Times New Roman" w:eastAsia="Calibri" w:hAnsi="Times New Roman" w:cs="Times New Roman"/>
                <w:sz w:val="24"/>
                <w:szCs w:val="24"/>
              </w:rPr>
              <w:t>(% од БДП)</w:t>
            </w:r>
          </w:p>
        </w:tc>
        <w:tc>
          <w:tcPr>
            <w:tcW w:w="1080" w:type="dxa"/>
            <w:tcBorders>
              <w:top w:val="nil"/>
              <w:left w:val="nil"/>
              <w:bottom w:val="nil"/>
              <w:right w:val="nil"/>
            </w:tcBorders>
            <w:shd w:val="clear" w:color="auto" w:fill="auto"/>
          </w:tcPr>
          <w:p w14:paraId="1B43DE7B"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-3,1</w:t>
            </w:r>
          </w:p>
        </w:tc>
        <w:tc>
          <w:tcPr>
            <w:tcW w:w="990" w:type="dxa"/>
            <w:tcBorders>
              <w:top w:val="nil"/>
              <w:left w:val="nil"/>
              <w:bottom w:val="nil"/>
              <w:right w:val="nil"/>
            </w:tcBorders>
            <w:shd w:val="clear" w:color="auto" w:fill="auto"/>
          </w:tcPr>
          <w:p w14:paraId="15BACAEF"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-2,0</w:t>
            </w:r>
          </w:p>
        </w:tc>
        <w:tc>
          <w:tcPr>
            <w:tcW w:w="990" w:type="dxa"/>
            <w:tcBorders>
              <w:top w:val="nil"/>
              <w:left w:val="nil"/>
              <w:bottom w:val="nil"/>
              <w:right w:val="nil"/>
            </w:tcBorders>
            <w:shd w:val="clear" w:color="auto" w:fill="auto"/>
          </w:tcPr>
          <w:p w14:paraId="3A07F9C8"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-8,2</w:t>
            </w:r>
          </w:p>
        </w:tc>
        <w:tc>
          <w:tcPr>
            <w:tcW w:w="918" w:type="dxa"/>
            <w:tcBorders>
              <w:top w:val="nil"/>
              <w:left w:val="nil"/>
              <w:bottom w:val="nil"/>
            </w:tcBorders>
            <w:shd w:val="clear" w:color="auto" w:fill="auto"/>
          </w:tcPr>
          <w:p w14:paraId="5F064805"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-5,4</w:t>
            </w:r>
          </w:p>
        </w:tc>
      </w:tr>
      <w:tr w:rsidR="00A50BBD" w:rsidRPr="00865EBC" w14:paraId="3CBE51F4" w14:textId="77777777" w:rsidTr="006E4EB0">
        <w:tc>
          <w:tcPr>
            <w:tcW w:w="5598" w:type="dxa"/>
            <w:tcBorders>
              <w:top w:val="nil"/>
              <w:right w:val="nil"/>
            </w:tcBorders>
            <w:shd w:val="clear" w:color="auto" w:fill="auto"/>
          </w:tcPr>
          <w:p w14:paraId="6B3957D2" w14:textId="77777777" w:rsidR="00A50BBD" w:rsidRPr="00865EBC" w:rsidRDefault="00A50BBD" w:rsidP="006E4EB0">
            <w:pPr>
              <w:spacing w:after="0"/>
              <w:rPr>
                <w:rFonts w:ascii="Times New Roman" w:eastAsia="Calibri" w:hAnsi="Times New Roman" w:cs="Times New Roman"/>
                <w:b/>
                <w:bCs/>
                <w:sz w:val="24"/>
                <w:szCs w:val="24"/>
              </w:rPr>
            </w:pPr>
            <w:r w:rsidRPr="00865EBC">
              <w:rPr>
                <w:rFonts w:ascii="Times New Roman" w:eastAsia="Calibri" w:hAnsi="Times New Roman" w:cs="Times New Roman"/>
                <w:b/>
                <w:bCs/>
                <w:sz w:val="24"/>
                <w:szCs w:val="24"/>
              </w:rPr>
              <w:t xml:space="preserve">Општ државен долг </w:t>
            </w:r>
            <w:r w:rsidRPr="00865EBC">
              <w:rPr>
                <w:rFonts w:ascii="Times New Roman" w:eastAsia="Calibri" w:hAnsi="Times New Roman" w:cs="Times New Roman"/>
                <w:sz w:val="24"/>
                <w:szCs w:val="24"/>
              </w:rPr>
              <w:t>(% од БДП)</w:t>
            </w:r>
          </w:p>
        </w:tc>
        <w:tc>
          <w:tcPr>
            <w:tcW w:w="1080" w:type="dxa"/>
            <w:tcBorders>
              <w:top w:val="nil"/>
              <w:left w:val="nil"/>
              <w:right w:val="nil"/>
            </w:tcBorders>
            <w:shd w:val="clear" w:color="auto" w:fill="auto"/>
          </w:tcPr>
          <w:p w14:paraId="11EB0A81"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38,3</w:t>
            </w:r>
          </w:p>
        </w:tc>
        <w:tc>
          <w:tcPr>
            <w:tcW w:w="990" w:type="dxa"/>
            <w:tcBorders>
              <w:top w:val="nil"/>
              <w:left w:val="nil"/>
              <w:right w:val="nil"/>
            </w:tcBorders>
            <w:shd w:val="clear" w:color="auto" w:fill="auto"/>
          </w:tcPr>
          <w:p w14:paraId="00FEAA0B"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40,5</w:t>
            </w:r>
          </w:p>
        </w:tc>
        <w:tc>
          <w:tcPr>
            <w:tcW w:w="990" w:type="dxa"/>
            <w:tcBorders>
              <w:top w:val="nil"/>
              <w:left w:val="nil"/>
              <w:right w:val="nil"/>
            </w:tcBorders>
            <w:shd w:val="clear" w:color="auto" w:fill="auto"/>
          </w:tcPr>
          <w:p w14:paraId="44CE1DCB"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51,9</w:t>
            </w:r>
          </w:p>
        </w:tc>
        <w:tc>
          <w:tcPr>
            <w:tcW w:w="918" w:type="dxa"/>
            <w:tcBorders>
              <w:top w:val="nil"/>
              <w:left w:val="nil"/>
            </w:tcBorders>
            <w:shd w:val="clear" w:color="auto" w:fill="auto"/>
          </w:tcPr>
          <w:p w14:paraId="3259DE9F" w14:textId="77777777" w:rsidR="00A50BBD" w:rsidRPr="00865EBC" w:rsidRDefault="00A50BBD" w:rsidP="006E4EB0">
            <w:pPr>
              <w:spacing w:after="0"/>
              <w:rPr>
                <w:rFonts w:ascii="Times New Roman" w:eastAsia="Calibri" w:hAnsi="Times New Roman" w:cs="Times New Roman"/>
                <w:sz w:val="24"/>
                <w:szCs w:val="24"/>
              </w:rPr>
            </w:pPr>
            <w:r w:rsidRPr="00865EBC">
              <w:rPr>
                <w:rFonts w:ascii="Times New Roman" w:eastAsia="Calibri" w:hAnsi="Times New Roman" w:cs="Times New Roman"/>
                <w:sz w:val="24"/>
                <w:szCs w:val="24"/>
              </w:rPr>
              <w:t>51,8</w:t>
            </w:r>
          </w:p>
        </w:tc>
      </w:tr>
    </w:tbl>
    <w:p w14:paraId="6C5ACF76" w14:textId="77777777" w:rsidR="00A50BBD" w:rsidRPr="00865EBC" w:rsidRDefault="00A50BBD" w:rsidP="006E4EB0">
      <w:pPr>
        <w:spacing w:after="0"/>
        <w:jc w:val="both"/>
        <w:rPr>
          <w:rFonts w:ascii="Times New Roman" w:hAnsi="Times New Roman" w:cs="Times New Roman"/>
          <w:i/>
          <w:sz w:val="24"/>
          <w:szCs w:val="24"/>
          <w:u w:val="single"/>
        </w:rPr>
      </w:pPr>
      <w:r w:rsidRPr="00865EBC">
        <w:rPr>
          <w:rFonts w:ascii="Times New Roman" w:hAnsi="Times New Roman" w:cs="Times New Roman"/>
          <w:i/>
          <w:sz w:val="24"/>
          <w:szCs w:val="24"/>
          <w:u w:val="single"/>
        </w:rPr>
        <w:t>Забелешки:</w:t>
      </w:r>
    </w:p>
    <w:p w14:paraId="72D5C931" w14:textId="77777777" w:rsidR="00A50BBD" w:rsidRPr="00865EBC" w:rsidRDefault="00A50BBD" w:rsidP="006E4EB0">
      <w:pPr>
        <w:spacing w:after="0"/>
        <w:jc w:val="both"/>
        <w:rPr>
          <w:rFonts w:ascii="Times New Roman" w:hAnsi="Times New Roman" w:cs="Times New Roman"/>
          <w:i/>
          <w:sz w:val="24"/>
          <w:szCs w:val="24"/>
        </w:rPr>
      </w:pPr>
      <w:r w:rsidRPr="00865EBC">
        <w:rPr>
          <w:rFonts w:ascii="Times New Roman" w:hAnsi="Times New Roman" w:cs="Times New Roman"/>
          <w:i/>
          <w:sz w:val="24"/>
          <w:szCs w:val="24"/>
        </w:rPr>
        <w:t>1) Евростат</w:t>
      </w:r>
    </w:p>
    <w:p w14:paraId="0E94493A" w14:textId="77777777" w:rsidR="00A50BBD" w:rsidRPr="00865EBC" w:rsidRDefault="00A50BBD" w:rsidP="006E4EB0">
      <w:pPr>
        <w:spacing w:after="240"/>
        <w:jc w:val="both"/>
        <w:rPr>
          <w:rFonts w:ascii="Times New Roman" w:hAnsi="Times New Roman" w:cs="Times New Roman"/>
          <w:i/>
          <w:sz w:val="24"/>
          <w:szCs w:val="24"/>
        </w:rPr>
      </w:pPr>
      <w:r w:rsidRPr="00865EBC">
        <w:rPr>
          <w:rFonts w:ascii="Times New Roman" w:hAnsi="Times New Roman" w:cs="Times New Roman"/>
          <w:i/>
          <w:sz w:val="24"/>
          <w:szCs w:val="24"/>
        </w:rPr>
        <w:t>Извор: национални извори</w:t>
      </w:r>
    </w:p>
    <w:p w14:paraId="69C9E340" w14:textId="77777777" w:rsidR="00A50BBD" w:rsidRPr="00865EBC" w:rsidRDefault="00A50BBD" w:rsidP="006E4EB0">
      <w:pPr>
        <w:keepNext/>
        <w:keepLines/>
        <w:autoSpaceDE w:val="0"/>
        <w:autoSpaceDN w:val="0"/>
        <w:adjustRightInd w:val="0"/>
        <w:jc w:val="both"/>
        <w:rPr>
          <w:rFonts w:ascii="Times New Roman" w:eastAsia="Times New Roman" w:hAnsi="Times New Roman" w:cs="Times New Roman"/>
          <w:i/>
          <w:noProof/>
          <w:color w:val="000000"/>
          <w:sz w:val="24"/>
          <w:szCs w:val="24"/>
        </w:rPr>
      </w:pPr>
      <w:bookmarkStart w:id="78" w:name="_Toc84329771"/>
      <w:bookmarkStart w:id="79" w:name="_Toc84631573"/>
      <w:r w:rsidRPr="00865EBC">
        <w:rPr>
          <w:rFonts w:ascii="Times New Roman" w:hAnsi="Times New Roman" w:cs="Times New Roman"/>
          <w:i/>
          <w:color w:val="000000"/>
          <w:sz w:val="24"/>
        </w:rPr>
        <w:t>„Во согласност со заклучоците на Европскиот совет во Копенхаген во јуни 1993 година, пристапувањето во ЕУ налага постоење функционална пазарна економија и капацитет за справување со конкурентниот притисок и пазарните сили во рамките на Унијата.</w:t>
      </w:r>
    </w:p>
    <w:p w14:paraId="011FFC66" w14:textId="77777777" w:rsidR="00A50BBD" w:rsidRPr="00865EBC" w:rsidRDefault="00A50BBD" w:rsidP="006E4EB0">
      <w:pPr>
        <w:widowControl w:val="0"/>
        <w:jc w:val="both"/>
        <w:rPr>
          <w:rFonts w:ascii="Times New Roman" w:eastAsia="Times New Roman" w:hAnsi="Times New Roman" w:cs="Times New Roman"/>
          <w:i/>
          <w:noProof/>
          <w:color w:val="000000"/>
          <w:sz w:val="24"/>
          <w:szCs w:val="24"/>
        </w:rPr>
      </w:pPr>
      <w:r w:rsidRPr="00865EBC">
        <w:rPr>
          <w:rFonts w:ascii="Times New Roman" w:hAnsi="Times New Roman" w:cs="Times New Roman"/>
          <w:i/>
          <w:color w:val="000000"/>
          <w:sz w:val="24"/>
        </w:rPr>
        <w:t>Економското управување станува уште поважно</w:t>
      </w:r>
      <w:r>
        <w:rPr>
          <w:rFonts w:ascii="Times New Roman" w:hAnsi="Times New Roman" w:cs="Times New Roman"/>
          <w:i/>
          <w:color w:val="000000"/>
          <w:sz w:val="24"/>
          <w:lang w:val="en-US"/>
        </w:rPr>
        <w:t xml:space="preserve"> </w:t>
      </w:r>
      <w:r w:rsidRPr="00865EBC">
        <w:rPr>
          <w:rFonts w:ascii="Times New Roman" w:hAnsi="Times New Roman" w:cs="Times New Roman"/>
          <w:i/>
          <w:color w:val="000000"/>
          <w:sz w:val="24"/>
        </w:rPr>
        <w:t>во процесот на проширување во последниве години. Следењето на Комисијата се одвива во два процеса: спроведувањето на Програмата за економски реформи и долунаведената процена на усогласеност со економските критериуми за пристапување. Секоја земја од процесот на проширување изготвува Програма за економски реформи (ПЕР) на годишно ниво, каде што се утврдува среднорочна рамка на макрофискална политика и агенда за структурни реформи со цел да се обезбеди конкурентност и инклузивен раст. ПЕР се основа за политички насоки специфични за земјата, заеднички донесени од ЕУ и Западен Балкан и Турција на ниво на министри во мај секоја година.“</w:t>
      </w:r>
    </w:p>
    <w:p w14:paraId="432288FB" w14:textId="77777777" w:rsidR="00A50BBD" w:rsidRPr="000E0AE9" w:rsidRDefault="00A50BBD" w:rsidP="006E4EB0">
      <w:pPr>
        <w:widowControl w:val="0"/>
        <w:jc w:val="both"/>
        <w:outlineLvl w:val="2"/>
        <w:rPr>
          <w:rFonts w:ascii="Times New Roman" w:hAnsi="Times New Roman" w:cs="Times New Roman"/>
          <w:noProof/>
          <w:sz w:val="24"/>
          <w:szCs w:val="24"/>
        </w:rPr>
      </w:pPr>
      <w:bookmarkStart w:id="80" w:name="_Toc108092755"/>
      <w:bookmarkStart w:id="81" w:name="_Toc115619783"/>
      <w:bookmarkStart w:id="82" w:name="_Toc117004154"/>
      <w:r w:rsidRPr="000E0AE9">
        <w:rPr>
          <w:rFonts w:ascii="Times New Roman" w:hAnsi="Times New Roman" w:cs="Times New Roman"/>
          <w:sz w:val="24"/>
          <w:szCs w:val="24"/>
        </w:rPr>
        <w:t>2.3.1 Постоење функционална пазарна економија</w:t>
      </w:r>
      <w:bookmarkEnd w:id="78"/>
      <w:bookmarkEnd w:id="79"/>
      <w:bookmarkEnd w:id="80"/>
      <w:bookmarkEnd w:id="81"/>
      <w:bookmarkEnd w:id="82"/>
    </w:p>
    <w:p w14:paraId="1EEDDA4E" w14:textId="5602B698" w:rsidR="00A50BBD" w:rsidRPr="00865EBC" w:rsidRDefault="00A50BBD" w:rsidP="006E4EB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sidRPr="00865EBC">
        <w:rPr>
          <w:rFonts w:ascii="Times New Roman" w:hAnsi="Times New Roman" w:cs="Times New Roman"/>
          <w:sz w:val="24"/>
        </w:rPr>
        <w:t xml:space="preserve">Северна Македонија постигна </w:t>
      </w:r>
      <w:r w:rsidRPr="00865EBC">
        <w:rPr>
          <w:rFonts w:ascii="Times New Roman" w:hAnsi="Times New Roman" w:cs="Times New Roman"/>
          <w:b/>
          <w:bCs/>
          <w:sz w:val="24"/>
          <w:shd w:val="clear" w:color="auto" w:fill="D9D9D9" w:themeFill="background1" w:themeFillShade="D9"/>
        </w:rPr>
        <w:t xml:space="preserve">одреден напредок </w:t>
      </w:r>
      <w:r w:rsidRPr="00865EBC">
        <w:rPr>
          <w:rFonts w:ascii="Times New Roman" w:hAnsi="Times New Roman" w:cs="Times New Roman"/>
          <w:sz w:val="24"/>
          <w:shd w:val="clear" w:color="auto" w:fill="D9D9D9" w:themeFill="background1" w:themeFillShade="D9"/>
        </w:rPr>
        <w:t xml:space="preserve">и има </w:t>
      </w:r>
      <w:r w:rsidRPr="00865EBC">
        <w:rPr>
          <w:rFonts w:ascii="Times New Roman" w:hAnsi="Times New Roman" w:cs="Times New Roman"/>
          <w:b/>
          <w:bCs/>
          <w:sz w:val="24"/>
          <w:shd w:val="clear" w:color="auto" w:fill="D9D9D9" w:themeFill="background1" w:themeFillShade="D9"/>
        </w:rPr>
        <w:t>добро ниво на подготвеност</w:t>
      </w:r>
      <w:r w:rsidRPr="00865EBC">
        <w:rPr>
          <w:rFonts w:ascii="Times New Roman" w:hAnsi="Times New Roman" w:cs="Times New Roman"/>
          <w:sz w:val="24"/>
          <w:shd w:val="clear" w:color="auto" w:fill="D9D9D9" w:themeFill="background1" w:themeFillShade="D9"/>
        </w:rPr>
        <w:t xml:space="preserve"> при развојот на функционална пазарна економија. Во 2021 година, економијата во голема мера закрепна од кризата со КОВИД-19, делумно одразувајќи ги мерките за фискална поддршка спроведени за да помогнат во закрепнувањето. Истовремено, Владата ги засили јавните инвестиции иако капиталните трошоци сè уште заостануваат зад плановите. Помогнат од </w:t>
      </w:r>
      <w:r>
        <w:rPr>
          <w:rFonts w:ascii="Times New Roman" w:hAnsi="Times New Roman" w:cs="Times New Roman"/>
          <w:sz w:val="24"/>
          <w:shd w:val="clear" w:color="auto" w:fill="D9D9D9" w:themeFill="background1" w:themeFillShade="D9"/>
        </w:rPr>
        <w:t>зголемените</w:t>
      </w:r>
      <w:r w:rsidRPr="00865EBC">
        <w:rPr>
          <w:rFonts w:ascii="Times New Roman" w:hAnsi="Times New Roman" w:cs="Times New Roman"/>
          <w:sz w:val="24"/>
          <w:shd w:val="clear" w:color="auto" w:fill="D9D9D9" w:themeFill="background1" w:themeFillShade="D9"/>
        </w:rPr>
        <w:t xml:space="preserve"> даночни приходи, фискалниот дефицит се намали на 5,4 % од БДП во 2021 година, додека нивото на општиот државен и јавниот долг се стабилизира по големото зголемување во 2020 година. Со забрзаниот раст на цените на храната и енергијата на почетокот на 2022 година, Владата донесе нов сет фискални мерки за да го спречи негативното влијание врз економијата. Овие мерки не се добро насочени кон оние на кои им се најпотребни. Централната банка ја заостри својата политика во поглед на зголемените инфлациски притисоци.</w:t>
      </w:r>
    </w:p>
    <w:p w14:paraId="25DCAE77" w14:textId="77777777" w:rsidR="00A50BBD" w:rsidRPr="00865EBC" w:rsidRDefault="00A50BBD" w:rsidP="006E4EB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sidRPr="00865EBC">
        <w:rPr>
          <w:rFonts w:ascii="Times New Roman" w:hAnsi="Times New Roman" w:cs="Times New Roman"/>
          <w:sz w:val="24"/>
        </w:rPr>
        <w:t xml:space="preserve">Заглавија важните реформи во политиката за подобрување на фискалното управување и одржливоста на јавните финансии. Останува да се подобри управувањето со јавните инвестиции; новата рамка за управување со јавно-приватните партнерства сè уште не е донесена од Владата; а индексирањето на пензиите е променето за исто така да го одрази растот на платите по инфлацијата, што подразбира дополнителни притисоци врз расходите на веќе затегнатиот пензиски фонд. По долги одложувања, кон средината на </w:t>
      </w:r>
      <w:r w:rsidRPr="00865EBC">
        <w:rPr>
          <w:rFonts w:ascii="Times New Roman" w:hAnsi="Times New Roman" w:cs="Times New Roman"/>
          <w:sz w:val="24"/>
        </w:rPr>
        <w:lastRenderedPageBreak/>
        <w:t>септември, Собранието го донесе новиот Закон за буџети, кој предвидува фискални правила и фискален совет.</w:t>
      </w:r>
    </w:p>
    <w:p w14:paraId="1E1DD3B0" w14:textId="77777777" w:rsidR="00A50BBD" w:rsidRPr="00865EBC" w:rsidRDefault="00A50BBD" w:rsidP="006E4EB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sidRPr="00865EBC">
        <w:rPr>
          <w:rFonts w:ascii="Times New Roman" w:hAnsi="Times New Roman" w:cs="Times New Roman"/>
          <w:sz w:val="24"/>
        </w:rPr>
        <w:t>Банкарскиот сектор остана здрав, ликвиден и профитабилен, а финансиската стабилност се зајакна со напредокот во некои клучни закони. Забрзан е растот на кредитите за приватниот сектор, особено за компаниите. Регулаторните мерки за олеснување на барањата за задолжување се укинаа во 2021 година. Деловното опкружување продолжи да се кочи од значителната неформална економија и бавниот напредок во рационализацијата на парафискалните давачки.</w:t>
      </w:r>
    </w:p>
    <w:p w14:paraId="794ED336" w14:textId="77777777" w:rsidR="00A50BBD" w:rsidRPr="00865EBC" w:rsidRDefault="00A50BBD" w:rsidP="006E4EB0">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sidRPr="00865EBC">
        <w:rPr>
          <w:rFonts w:ascii="Times New Roman" w:hAnsi="Times New Roman" w:cs="Times New Roman"/>
          <w:sz w:val="24"/>
        </w:rPr>
        <w:t>Со оглед на тоа што препораките од минатата година се делумно спроведени и со цел да се подобри функционирањето на пазарната економија, Северна Македонија особено треба:</w:t>
      </w:r>
    </w:p>
    <w:p w14:paraId="6009BB5F" w14:textId="77777777" w:rsidR="00A50BBD" w:rsidRPr="00865EBC" w:rsidRDefault="00A50BBD" w:rsidP="00A50BBD">
      <w:pPr>
        <w:widowControl w:val="0"/>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sz w:val="24"/>
          <w:szCs w:val="24"/>
        </w:rPr>
      </w:pPr>
      <w:r w:rsidRPr="00865EBC">
        <w:rPr>
          <w:rFonts w:ascii="Times New Roman" w:hAnsi="Times New Roman" w:cs="Times New Roman"/>
          <w:sz w:val="24"/>
        </w:rPr>
        <w:t>да го подобри насочувањето на фискалната поддршка за да им се помогне на ранливите домаќинства и компании што се соочуваат со пораст на цените на храната и енергијата и да се обезбеди нејзиниот привремен карактер; да ја подобри наплатата на приходите и да ја прошири даночната основа во согласност со Стратегијата за реформа на даночниот систем, вклучително и со рационализирање на даночните ослободувања;</w:t>
      </w:r>
    </w:p>
    <w:p w14:paraId="706615FB" w14:textId="77777777" w:rsidR="00A50BBD" w:rsidRPr="00865EBC" w:rsidRDefault="00A50BBD" w:rsidP="00A50BBD">
      <w:pPr>
        <w:widowControl w:val="0"/>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rPr>
      </w:pPr>
      <w:r w:rsidRPr="00865EBC">
        <w:rPr>
          <w:rFonts w:ascii="Times New Roman" w:hAnsi="Times New Roman" w:cs="Times New Roman"/>
          <w:sz w:val="24"/>
        </w:rPr>
        <w:t>да го спроведе Законот за буџети и да осигури навремено формирање Фискален совет;</w:t>
      </w:r>
    </w:p>
    <w:p w14:paraId="176642A9" w14:textId="77777777" w:rsidR="00A50BBD" w:rsidRPr="00A713E2" w:rsidRDefault="00A50BBD" w:rsidP="00A50BBD">
      <w:pPr>
        <w:widowControl w:val="0"/>
        <w:numPr>
          <w:ilvl w:val="0"/>
          <w:numId w:val="64"/>
        </w:num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imes New Roman" w:hAnsi="Times New Roman" w:cs="Times New Roman"/>
          <w:noProof/>
        </w:rPr>
      </w:pPr>
      <w:r w:rsidRPr="00865EBC">
        <w:rPr>
          <w:rFonts w:ascii="Times New Roman" w:hAnsi="Times New Roman" w:cs="Times New Roman"/>
          <w:sz w:val="24"/>
        </w:rPr>
        <w:t>да го подобри деловното опкружување, да го прошири опсегот на услуги достапни за деловните субјекти и граѓаните преку владиниот е-портал и да ги рационализира парафискалните давачки во согласност со утврдениот инвентар.</w:t>
      </w:r>
    </w:p>
    <w:p w14:paraId="46FB4075" w14:textId="77777777" w:rsidR="00A50BBD" w:rsidRPr="00C9671E" w:rsidRDefault="00A50BBD" w:rsidP="006E4EB0">
      <w:pPr>
        <w:spacing w:after="120" w:line="240" w:lineRule="auto"/>
        <w:jc w:val="both"/>
        <w:rPr>
          <w:rFonts w:ascii="Times New Roman" w:hAnsi="Times New Roman" w:cs="Times New Roman"/>
          <w:sz w:val="24"/>
          <w:szCs w:val="24"/>
          <w:u w:val="single"/>
        </w:rPr>
      </w:pPr>
      <w:bookmarkStart w:id="83" w:name="_Toc9328484"/>
      <w:bookmarkStart w:id="84" w:name="_Toc9331917"/>
      <w:bookmarkStart w:id="85" w:name="_Toc9430009"/>
      <w:bookmarkStart w:id="86" w:name="_Toc29803509"/>
      <w:bookmarkStart w:id="87" w:name="_Toc51252771"/>
      <w:bookmarkStart w:id="88" w:name="_Toc84329777"/>
      <w:bookmarkStart w:id="89" w:name="_Toc84631579"/>
      <w:bookmarkStart w:id="90" w:name="_Toc9430349"/>
      <w:r w:rsidRPr="00C9671E">
        <w:rPr>
          <w:rFonts w:ascii="Times New Roman" w:hAnsi="Times New Roman" w:cs="Times New Roman"/>
          <w:sz w:val="24"/>
          <w:u w:val="single"/>
        </w:rPr>
        <w:t>Економско управување</w:t>
      </w:r>
    </w:p>
    <w:p w14:paraId="2FE4AE8F" w14:textId="4123C43A"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Владата обезбеди голема фискална поддршка за економијата за да се справи со зголемените ценовни притисоци, но напредокот во важните реформи беше бавен. </w:t>
      </w:r>
      <w:r w:rsidRPr="00C9671E">
        <w:rPr>
          <w:rFonts w:ascii="Times New Roman" w:hAnsi="Times New Roman" w:cs="Times New Roman"/>
          <w:sz w:val="24"/>
        </w:rPr>
        <w:t>И покрај тоа што продолжува да ги спроведува антикризните мерки поврзани со пандемијата од шесте пакети донесени во 2020 и 2021 година, во март 2022 година, Владата се согласи на нов сет мерки за да го олесни товарот од високите цени на храната и енергијата врз економијата. Во исто време, ги зајакна јавните инвестиции со зголемување на капиталните трошоци во 2021 година и започна нов план за забрзан економски раст за периодот од 2022 до 2026 година, кој предвидува значителни јавни инвестиции за да се поттикне дополнително приватно финансирање. Сепак, некои важни реформи напредуваа бавно или беа во застој, како што се подобрувањата во управувањето со јавните инвестиции; проширувањето на даночната основ</w:t>
      </w:r>
      <w:r>
        <w:rPr>
          <w:rFonts w:ascii="Times New Roman" w:hAnsi="Times New Roman" w:cs="Times New Roman"/>
          <w:sz w:val="24"/>
        </w:rPr>
        <w:t>иц</w:t>
      </w:r>
      <w:r w:rsidRPr="00C9671E">
        <w:rPr>
          <w:rFonts w:ascii="Times New Roman" w:hAnsi="Times New Roman" w:cs="Times New Roman"/>
          <w:sz w:val="24"/>
        </w:rPr>
        <w:t xml:space="preserve">а; воспоставувањето целосно функционален регистар за државна помош; и донесувањето нова законска рамка за јавно-приватни партнерства. Новиот Закон за буџетите што предвидува фискални правила, фискален совет и соодветна среднорочна буџетска рамка беше </w:t>
      </w:r>
      <w:r>
        <w:rPr>
          <w:rFonts w:ascii="Times New Roman" w:hAnsi="Times New Roman" w:cs="Times New Roman"/>
          <w:sz w:val="24"/>
        </w:rPr>
        <w:t>доставен</w:t>
      </w:r>
      <w:r w:rsidRPr="00C9671E">
        <w:rPr>
          <w:rFonts w:ascii="Times New Roman" w:hAnsi="Times New Roman" w:cs="Times New Roman"/>
          <w:sz w:val="24"/>
        </w:rPr>
        <w:t xml:space="preserve"> до Собранието во декември 2021 година и конечно се донесе во средината на септември 2022 година. Имаше пресврт на реформата во однос на враќањето на формулата за индексирање </w:t>
      </w:r>
      <w:r>
        <w:rPr>
          <w:rFonts w:ascii="Times New Roman" w:hAnsi="Times New Roman" w:cs="Times New Roman"/>
          <w:sz w:val="24"/>
        </w:rPr>
        <w:t xml:space="preserve">на </w:t>
      </w:r>
      <w:r w:rsidRPr="00C9671E">
        <w:rPr>
          <w:rFonts w:ascii="Times New Roman" w:hAnsi="Times New Roman" w:cs="Times New Roman"/>
          <w:sz w:val="24"/>
        </w:rPr>
        <w:t>пензии</w:t>
      </w:r>
      <w:r>
        <w:rPr>
          <w:rFonts w:ascii="Times New Roman" w:hAnsi="Times New Roman" w:cs="Times New Roman"/>
          <w:sz w:val="24"/>
        </w:rPr>
        <w:t>те</w:t>
      </w:r>
      <w:r w:rsidRPr="00C9671E">
        <w:rPr>
          <w:rFonts w:ascii="Times New Roman" w:hAnsi="Times New Roman" w:cs="Times New Roman"/>
          <w:sz w:val="24"/>
        </w:rPr>
        <w:t xml:space="preserve"> поврзано со цените и платите, што веројатно значително ќе ја зголеми висината на пензиите.</w:t>
      </w:r>
    </w:p>
    <w:p w14:paraId="7309668F"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
          <w:sz w:val="24"/>
          <w:szCs w:val="24"/>
        </w:rPr>
      </w:pPr>
      <w:r w:rsidRPr="00C9671E">
        <w:rPr>
          <w:rFonts w:ascii="Times New Roman" w:hAnsi="Times New Roman" w:cs="Times New Roman"/>
          <w:sz w:val="24"/>
        </w:rPr>
        <w:t xml:space="preserve">Заеднички договорените насоки за политиките на Економско-финансискиот дијалог во јули 2021 година меѓу ЕУ и Западен Балкан и Турција се делумно спроведени. Владата </w:t>
      </w:r>
      <w:r w:rsidRPr="00C9671E">
        <w:rPr>
          <w:rFonts w:ascii="Times New Roman" w:hAnsi="Times New Roman" w:cs="Times New Roman"/>
          <w:sz w:val="24"/>
        </w:rPr>
        <w:lastRenderedPageBreak/>
        <w:t>ги исполни сите услови за исплата на втората транша (80 милиони евра) од макрофинансиската помош од Европската Унија.</w:t>
      </w:r>
    </w:p>
    <w:p w14:paraId="4AB06825" w14:textId="77777777" w:rsidR="00A50BBD" w:rsidRPr="00C9671E" w:rsidRDefault="00A50BBD" w:rsidP="006E4EB0">
      <w:pPr>
        <w:spacing w:after="120" w:line="240" w:lineRule="auto"/>
        <w:jc w:val="both"/>
        <w:rPr>
          <w:rFonts w:ascii="Times New Roman" w:hAnsi="Times New Roman" w:cs="Times New Roman"/>
          <w:sz w:val="24"/>
          <w:u w:val="single"/>
        </w:rPr>
      </w:pPr>
      <w:r w:rsidRPr="00C9671E">
        <w:rPr>
          <w:rFonts w:ascii="Times New Roman" w:hAnsi="Times New Roman" w:cs="Times New Roman"/>
          <w:sz w:val="24"/>
          <w:u w:val="single"/>
        </w:rPr>
        <w:t>Макроекономска стабилност</w:t>
      </w:r>
    </w:p>
    <w:tbl>
      <w:tblPr>
        <w:tblW w:w="0" w:type="auto"/>
        <w:tblLook w:val="04A0" w:firstRow="1" w:lastRow="0" w:firstColumn="1" w:lastColumn="0" w:noHBand="0" w:noVBand="1"/>
      </w:tblPr>
      <w:tblGrid>
        <w:gridCol w:w="4449"/>
        <w:gridCol w:w="4623"/>
      </w:tblGrid>
      <w:tr w:rsidR="00A50BBD" w:rsidRPr="00C9671E" w14:paraId="642B7A5F" w14:textId="77777777" w:rsidTr="006E4EB0">
        <w:tc>
          <w:tcPr>
            <w:tcW w:w="4644" w:type="dxa"/>
            <w:shd w:val="clear" w:color="auto" w:fill="auto"/>
          </w:tcPr>
          <w:p w14:paraId="6C98385E" w14:textId="142BCB33"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b/>
                <w:sz w:val="24"/>
              </w:rPr>
              <w:t>Домашната побарувачка закрепна во 2021 година во услови на забрзана инфлација.</w:t>
            </w:r>
            <w:r w:rsidRPr="00C9671E">
              <w:rPr>
                <w:rFonts w:ascii="Times New Roman" w:hAnsi="Times New Roman" w:cs="Times New Roman"/>
                <w:sz w:val="24"/>
              </w:rPr>
              <w:t xml:space="preserve"> Откако производството опадна за 6,1 % во 2020 година, економијата </w:t>
            </w:r>
            <w:r>
              <w:rPr>
                <w:rFonts w:ascii="Times New Roman" w:hAnsi="Times New Roman" w:cs="Times New Roman"/>
                <w:sz w:val="24"/>
              </w:rPr>
              <w:t>се зголеми</w:t>
            </w:r>
            <w:r w:rsidRPr="00C9671E">
              <w:rPr>
                <w:rFonts w:ascii="Times New Roman" w:hAnsi="Times New Roman" w:cs="Times New Roman"/>
                <w:sz w:val="24"/>
              </w:rPr>
              <w:t xml:space="preserve"> за 4 % во 2021 година, поттикната од домашната побарувачка. Дознаките од странство се вратија на нивоата пред кризата, зајакнувајќи го расположливиот приход на домаќинствата, а субвенциите за платите </w:t>
            </w:r>
          </w:p>
        </w:tc>
        <w:tc>
          <w:tcPr>
            <w:tcW w:w="4644" w:type="dxa"/>
            <w:shd w:val="clear" w:color="auto" w:fill="auto"/>
          </w:tcPr>
          <w:p w14:paraId="26B761B1" w14:textId="77777777" w:rsidR="00A50BBD" w:rsidRPr="00C9671E" w:rsidRDefault="00A50BBD" w:rsidP="006E4EB0">
            <w:pPr>
              <w:spacing w:after="120" w:line="240" w:lineRule="auto"/>
              <w:jc w:val="both"/>
              <w:rPr>
                <w:rFonts w:ascii="Times New Roman" w:hAnsi="Times New Roman" w:cs="Times New Roman"/>
                <w:u w:val="single"/>
              </w:rPr>
            </w:pPr>
            <w:r>
              <w:rPr>
                <w:rFonts w:ascii="Times New Roman" w:hAnsi="Times New Roman" w:cs="Times New Roman"/>
                <w:noProof/>
                <w:lang w:val="en-US" w:eastAsia="en-US" w:bidi="ar-SA"/>
              </w:rPr>
              <w:drawing>
                <wp:anchor distT="0" distB="0" distL="114300" distR="114300" simplePos="0" relativeHeight="251664384" behindDoc="0" locked="0" layoutInCell="1" allowOverlap="1" wp14:anchorId="0CDAB2E8" wp14:editId="3D0E340A">
                  <wp:simplePos x="0" y="0"/>
                  <wp:positionH relativeFrom="column">
                    <wp:posOffset>-17780</wp:posOffset>
                  </wp:positionH>
                  <wp:positionV relativeFrom="paragraph">
                    <wp:posOffset>114300</wp:posOffset>
                  </wp:positionV>
                  <wp:extent cx="2619375" cy="1743075"/>
                  <wp:effectExtent l="0" t="0" r="9525" b="9525"/>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r="73558" b="68623"/>
                          <a:stretch>
                            <a:fillRect/>
                          </a:stretch>
                        </pic:blipFill>
                        <pic:spPr bwMode="auto">
                          <a:xfrm>
                            <a:off x="0" y="0"/>
                            <a:ext cx="2619375" cy="1743075"/>
                          </a:xfrm>
                          <a:prstGeom prst="rect">
                            <a:avLst/>
                          </a:prstGeom>
                          <a:noFill/>
                        </pic:spPr>
                      </pic:pic>
                    </a:graphicData>
                  </a:graphic>
                </wp:anchor>
              </w:drawing>
            </w:r>
          </w:p>
        </w:tc>
      </w:tr>
    </w:tbl>
    <w:p w14:paraId="73027BC1" w14:textId="1A124CE3" w:rsidR="00A50BBD" w:rsidRPr="00C9671E" w:rsidRDefault="00A50BBD" w:rsidP="006E4EB0">
      <w:pPr>
        <w:spacing w:after="120" w:line="240" w:lineRule="auto"/>
        <w:jc w:val="both"/>
        <w:rPr>
          <w:rFonts w:ascii="Times New Roman" w:hAnsi="Times New Roman" w:cs="Times New Roman"/>
          <w:sz w:val="24"/>
        </w:rPr>
      </w:pPr>
      <w:r w:rsidRPr="00C9671E">
        <w:rPr>
          <w:rFonts w:ascii="Times New Roman" w:hAnsi="Times New Roman" w:cs="Times New Roman"/>
          <w:sz w:val="24"/>
        </w:rPr>
        <w:t xml:space="preserve">од Владата помогнаа вработеноста да се одржи стабилна. Мерките за ограничување поврзани со КОВИД-19 постепено беа укинати. Динамиката на раст забави кон крајот на 2021 година, бидејќи надворешната побарувачка ослабе, нарушувањата во глобалните синџири на снабдување се влошија, а цените на храната и енергијата почнаа забрзано да растат. Поради силниот раст на увозот, поттикнат од наглите глобални цени на суровините, како и повторното заживување на домашната побарувачка, придонесот на нето-извозот во растот на БДП стана негативен во 2021 година. Во првата половина од 2022 година, годишниот раст на БДП во просек изнесуваше 2,6 %, делумно поттикнат од силниот пораст на инвестициите. </w:t>
      </w:r>
      <w:r w:rsidRPr="006722A8">
        <w:rPr>
          <w:rFonts w:ascii="Times New Roman" w:hAnsi="Times New Roman" w:cs="Times New Roman"/>
          <w:sz w:val="24"/>
        </w:rPr>
        <w:t>Конвергенцијата со</w:t>
      </w:r>
      <w:r w:rsidRPr="00C9671E">
        <w:rPr>
          <w:rFonts w:ascii="Times New Roman" w:hAnsi="Times New Roman" w:cs="Times New Roman"/>
          <w:sz w:val="24"/>
        </w:rPr>
        <w:t xml:space="preserve"> нивото на приход на ЕУ </w:t>
      </w:r>
      <w:r w:rsidRPr="006722A8">
        <w:rPr>
          <w:rFonts w:ascii="Times New Roman" w:hAnsi="Times New Roman" w:cs="Times New Roman"/>
          <w:sz w:val="24"/>
        </w:rPr>
        <w:t xml:space="preserve">е сè уште </w:t>
      </w:r>
      <w:r>
        <w:rPr>
          <w:rFonts w:ascii="Times New Roman" w:hAnsi="Times New Roman" w:cs="Times New Roman"/>
          <w:sz w:val="24"/>
        </w:rPr>
        <w:t>бавна</w:t>
      </w:r>
      <w:r w:rsidRPr="00C9671E">
        <w:rPr>
          <w:rFonts w:ascii="Times New Roman" w:hAnsi="Times New Roman" w:cs="Times New Roman"/>
          <w:sz w:val="24"/>
        </w:rPr>
        <w:t>. Реалниот БДП по глава на жител се зголеми само незначително во изминатите пет години, од 36 % од просекот на ЕУ-28 во 2015 година на 38 % во 2020 година.</w:t>
      </w:r>
    </w:p>
    <w:p w14:paraId="415294DF" w14:textId="4B1C5F7B" w:rsidR="00A50BBD" w:rsidRPr="00C9671E" w:rsidRDefault="00A50BBD" w:rsidP="006E4EB0">
      <w:pPr>
        <w:autoSpaceDE w:val="0"/>
        <w:autoSpaceDN w:val="0"/>
        <w:adjustRightInd w:val="0"/>
        <w:spacing w:after="120" w:line="240" w:lineRule="auto"/>
        <w:jc w:val="both"/>
        <w:rPr>
          <w:rFonts w:ascii="Times New Roman" w:hAnsi="Times New Roman" w:cs="Times New Roman"/>
          <w:sz w:val="24"/>
        </w:rPr>
      </w:pPr>
      <w:r w:rsidRPr="00C9671E">
        <w:rPr>
          <w:rFonts w:ascii="Times New Roman" w:hAnsi="Times New Roman" w:cs="Times New Roman"/>
          <w:b/>
          <w:sz w:val="24"/>
        </w:rPr>
        <w:t xml:space="preserve">Надворешната позиција почна да се влошува кон крајот на 2021 година, бидејќи закрепнувањето по пандемијата </w:t>
      </w:r>
      <w:r>
        <w:rPr>
          <w:rFonts w:ascii="Times New Roman" w:hAnsi="Times New Roman" w:cs="Times New Roman"/>
          <w:b/>
          <w:sz w:val="24"/>
        </w:rPr>
        <w:t>се засили</w:t>
      </w:r>
      <w:r w:rsidRPr="00C9671E">
        <w:rPr>
          <w:rFonts w:ascii="Times New Roman" w:hAnsi="Times New Roman" w:cs="Times New Roman"/>
          <w:b/>
          <w:sz w:val="24"/>
        </w:rPr>
        <w:t xml:space="preserve"> додека цените на увозот нагло се зголемија. </w:t>
      </w:r>
      <w:r w:rsidRPr="00C9671E">
        <w:rPr>
          <w:rFonts w:ascii="Times New Roman" w:hAnsi="Times New Roman" w:cs="Times New Roman"/>
          <w:sz w:val="24"/>
        </w:rPr>
        <w:t>Во 2021 година, дефицитот на тековната сметка остана на истото ниво како една година претходно, на 3,5 % од БДП, над неговиот просек во периодот од 2017 до 2019 година (1,5 %). Сепак, од последниот квартал од 2021 година, трговскиот биланс</w:t>
      </w:r>
    </w:p>
    <w:tbl>
      <w:tblPr>
        <w:tblW w:w="0" w:type="auto"/>
        <w:tblLook w:val="04A0" w:firstRow="1" w:lastRow="0" w:firstColumn="1" w:lastColumn="0" w:noHBand="0" w:noVBand="1"/>
      </w:tblPr>
      <w:tblGrid>
        <w:gridCol w:w="4446"/>
        <w:gridCol w:w="4626"/>
      </w:tblGrid>
      <w:tr w:rsidR="00A50BBD" w:rsidRPr="00C9671E" w14:paraId="488804A2" w14:textId="77777777" w:rsidTr="006E4EB0">
        <w:tc>
          <w:tcPr>
            <w:tcW w:w="4644" w:type="dxa"/>
            <w:shd w:val="clear" w:color="auto" w:fill="auto"/>
          </w:tcPr>
          <w:p w14:paraId="18260F4C"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rPr>
            </w:pPr>
            <w:r w:rsidRPr="00C9671E">
              <w:rPr>
                <w:rFonts w:ascii="Times New Roman" w:hAnsi="Times New Roman" w:cs="Times New Roman"/>
                <w:sz w:val="24"/>
              </w:rPr>
              <w:t>на стоки постојано се влошува, главно поради зголемувањето на цените на енергијата, што ја одразува високата зависност на земјата од увозот на енергија. Ова доведе до зголемување на дефицитот на тековната сметка, иако приватните трансфери од странство, вклучително и дознаките на работниците, значително се зголемија во 2021 година и потоа, по нивниот пад поврзан со пандемијата во 2020 година, а вишокот во билансот на</w:t>
            </w:r>
          </w:p>
        </w:tc>
        <w:tc>
          <w:tcPr>
            <w:tcW w:w="4644" w:type="dxa"/>
            <w:shd w:val="clear" w:color="auto" w:fill="auto"/>
          </w:tcPr>
          <w:p w14:paraId="072599C0"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rPr>
            </w:pPr>
            <w:r>
              <w:rPr>
                <w:rFonts w:ascii="Times New Roman" w:hAnsi="Times New Roman" w:cs="Times New Roman"/>
                <w:noProof/>
                <w:lang w:val="en-US" w:eastAsia="en-US" w:bidi="ar-SA"/>
              </w:rPr>
              <w:drawing>
                <wp:inline distT="0" distB="0" distL="0" distR="0" wp14:anchorId="64EF4197" wp14:editId="49B43584">
                  <wp:extent cx="2647950" cy="172402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r="78360" b="75047"/>
                          <a:stretch>
                            <a:fillRect/>
                          </a:stretch>
                        </pic:blipFill>
                        <pic:spPr bwMode="auto">
                          <a:xfrm>
                            <a:off x="0" y="0"/>
                            <a:ext cx="2647950" cy="1724025"/>
                          </a:xfrm>
                          <a:prstGeom prst="rect">
                            <a:avLst/>
                          </a:prstGeom>
                          <a:noFill/>
                          <a:ln>
                            <a:noFill/>
                          </a:ln>
                        </pic:spPr>
                      </pic:pic>
                    </a:graphicData>
                  </a:graphic>
                </wp:inline>
              </w:drawing>
            </w:r>
          </w:p>
        </w:tc>
      </w:tr>
    </w:tbl>
    <w:p w14:paraId="2526A94C"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rPr>
        <w:t xml:space="preserve">на услугите се зголеми, бидејќи беа укинати мерките за ограничување. Дефицитот во тековната сметка во 2021 година беше покриен со нето-приливи од СДИ, кои достигнаа 3,7 % од БДП, од ниските 1,5 % во 2020 година, со што го надминаа нивниот просек во периодот од 2017 до 2019 година (3,5 %). Откако се намалуваше секоја година помеѓу 2016 и 2019 година, коефициентот на надворешниот долг скокна за 7,3 пп во 2020 </w:t>
      </w:r>
      <w:r w:rsidRPr="00C9671E">
        <w:rPr>
          <w:rFonts w:ascii="Times New Roman" w:hAnsi="Times New Roman" w:cs="Times New Roman"/>
          <w:sz w:val="24"/>
        </w:rPr>
        <w:lastRenderedPageBreak/>
        <w:t xml:space="preserve">година на 80,3 % и дополнително се зголеми на 81,4 % во 2021 година, главно како резултат на континуираното странско финансирање за потребите предизвикани од кризата. Сепак, структурата на долгот подразбира умерени ризици. Долгорочниот долг сочинува околу 70 % од вкупниот износ, а висок е уделот на меѓукомпанискиот долг и трговските кредити што претставуваат помалку нестабилни компоненти на надворешниот долг. </w:t>
      </w:r>
    </w:p>
    <w:p w14:paraId="57399868"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b/>
          <w:sz w:val="24"/>
        </w:rPr>
        <w:t>Девизните резерви беа под притисок на почетокот на 2022 година што малку се намали во текот на летото</w:t>
      </w:r>
      <w:r w:rsidRPr="00C9671E">
        <w:rPr>
          <w:rFonts w:ascii="Times New Roman" w:hAnsi="Times New Roman" w:cs="Times New Roman"/>
          <w:sz w:val="24"/>
        </w:rPr>
        <w:t>. Девизните резерви зајакнаа во 2021 година (+8,4 % годишно на крајот од 2021 година, што претставува пет месеци потенцијален увоз) со финансиски приливи, вклучително и втората транша од макрофинансиската помош од Европската Унија, зголемување на директните странски инвестиции, како и приливи од портфолија. Сепак, во првиот квартал од 2022 година и потоа, поради големото зголемување на дефицитот во трговијата со енергија, притисоците на домашните конверзии во средства деноминирани во евра и отплатата на јавниот долг, девизните резерви се намалија. Делумно поради сезонскиот пораст на приватните трансфери, резервите малку се зголемија во текот на летото. Сепак, на крајот од август тие сè уште беа пониски за 9,8 % во споредба со крајот на 2021 година.</w:t>
      </w:r>
    </w:p>
    <w:p w14:paraId="5798B8C7" w14:textId="77777777" w:rsidR="00A50BBD" w:rsidRPr="00C9671E" w:rsidRDefault="00A50BBD" w:rsidP="006E4EB0">
      <w:pPr>
        <w:spacing w:after="120" w:line="240" w:lineRule="auto"/>
        <w:jc w:val="both"/>
        <w:rPr>
          <w:rFonts w:ascii="Times New Roman" w:hAnsi="Times New Roman" w:cs="Times New Roman"/>
          <w:sz w:val="24"/>
        </w:rPr>
      </w:pPr>
      <w:r>
        <w:rPr>
          <w:rFonts w:ascii="Times New Roman" w:hAnsi="Times New Roman" w:cs="Times New Roman"/>
          <w:noProof/>
          <w:lang w:val="en-US" w:eastAsia="en-US" w:bidi="ar-SA"/>
        </w:rPr>
        <w:drawing>
          <wp:anchor distT="0" distB="0" distL="114300" distR="114300" simplePos="0" relativeHeight="251660288" behindDoc="0" locked="0" layoutInCell="1" allowOverlap="1" wp14:anchorId="2175E5DE" wp14:editId="4300321E">
            <wp:simplePos x="0" y="0"/>
            <wp:positionH relativeFrom="column">
              <wp:posOffset>-145415</wp:posOffset>
            </wp:positionH>
            <wp:positionV relativeFrom="paragraph">
              <wp:posOffset>802640</wp:posOffset>
            </wp:positionV>
            <wp:extent cx="2438400" cy="146685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r="75401" b="73546"/>
                    <a:stretch>
                      <a:fillRect/>
                    </a:stretch>
                  </pic:blipFill>
                  <pic:spPr bwMode="auto">
                    <a:xfrm>
                      <a:off x="0" y="0"/>
                      <a:ext cx="2438400" cy="1466850"/>
                    </a:xfrm>
                    <a:prstGeom prst="rect">
                      <a:avLst/>
                    </a:prstGeom>
                    <a:noFill/>
                  </pic:spPr>
                </pic:pic>
              </a:graphicData>
            </a:graphic>
          </wp:anchor>
        </w:drawing>
      </w:r>
      <w:r w:rsidRPr="00C9671E">
        <w:rPr>
          <w:rFonts w:ascii="Times New Roman" w:hAnsi="Times New Roman" w:cs="Times New Roman"/>
          <w:b/>
          <w:sz w:val="24"/>
        </w:rPr>
        <w:t xml:space="preserve">Централната банка ја продолжи својата приспособлива монетарна политика во 2021 година, но почна да ја затегнува на почетокот на 2022 година, со оглед на забрзаната инфлација. </w:t>
      </w:r>
      <w:r w:rsidRPr="00C9671E">
        <w:rPr>
          <w:rFonts w:ascii="Times New Roman" w:hAnsi="Times New Roman" w:cs="Times New Roman"/>
          <w:sz w:val="24"/>
        </w:rPr>
        <w:t xml:space="preserve">Централната банка ја зголеми основната каматна стапка четири пати помеѓу април и јули 2022 година, од историски најниско ниво од 1,25 % на 2,5 %, ефективно ставајќи крај на нејзината приспособлива политика за време на пандемијата. Почнувајќи од крајот на 2021 година, растот на увозните цени се забрза, а притисоците на домашните цени се зголемија, вклучително и од одржливиот раст на платите, кој дополнително беше поттикнат од зголемувањето на минималната плата за 18,5 % од март 2022 година. Индексот на потрошувачките цени се зголеми за 3,2 % во 2021 година, во споредба со 1,2 % во 2020 година, при што зголемувањата дополнително се забрзуваат секој месец од почетокот на 2022 година, на просечни 11,6 % во првите осум месеци. Валутата е во стабилен, </w:t>
      </w:r>
      <w:r w:rsidRPr="00C9671E">
        <w:rPr>
          <w:rFonts w:ascii="Times New Roman" w:hAnsi="Times New Roman" w:cs="Times New Roman"/>
          <w:i/>
          <w:sz w:val="24"/>
        </w:rPr>
        <w:t>де факто</w:t>
      </w:r>
      <w:r w:rsidRPr="00C9671E">
        <w:rPr>
          <w:rFonts w:ascii="Times New Roman" w:hAnsi="Times New Roman" w:cs="Times New Roman"/>
          <w:sz w:val="24"/>
        </w:rPr>
        <w:t xml:space="preserve"> режим на девизен курс со еврото. Загриженост се појави за оперативната независност на централната банка, бидејќи таа не е изземена од нацрт-законите за административни службеници и законот за вработените во јавниот сектор. Генерално, ставот на монетарната политика е во согласност со тековните економски основи, одговарајќи на пазарните очекувања за натамошно зголемување на инфлацијата, истовремено ублажувајќи го негативното влијание врз економијата што произлегува од пандемијата и енергетската криза.</w:t>
      </w:r>
    </w:p>
    <w:p w14:paraId="18F592D2" w14:textId="1A87C24F"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Јавните финансии се подобрија во 2021 година, со </w:t>
      </w:r>
      <w:r>
        <w:rPr>
          <w:rFonts w:ascii="Times New Roman" w:hAnsi="Times New Roman" w:cs="Times New Roman"/>
          <w:b/>
          <w:sz w:val="24"/>
        </w:rPr>
        <w:t>наплаќањето</w:t>
      </w:r>
      <w:r w:rsidRPr="00C9671E">
        <w:rPr>
          <w:rFonts w:ascii="Times New Roman" w:hAnsi="Times New Roman" w:cs="Times New Roman"/>
          <w:b/>
          <w:sz w:val="24"/>
        </w:rPr>
        <w:t xml:space="preserve"> на даночните приходи. </w:t>
      </w:r>
      <w:r w:rsidRPr="00C9671E">
        <w:rPr>
          <w:rFonts w:ascii="Times New Roman" w:hAnsi="Times New Roman" w:cs="Times New Roman"/>
          <w:sz w:val="24"/>
        </w:rPr>
        <w:t xml:space="preserve">Во петте години пред пандемијата, општиот фискален дефицит на Владата се намалуваше секоја година, во однос на БДП, делумно како резултат на недоволното извршување на буџетираните капитални расходи, пред да скокне на 8,2 % од БДП во 2020 година со оглед на тоа што кризата со КОВИД-19 ги погоди јавните финансии. Поттикнати од повисоките даночни приходи, јавните приходи постепено закрепнуваа до 2021 година од најниското ниво во пандемијата. Капиталните расходи, со 79 % од ревидираниот буџет, повторно беа значително недоволно спроведени, но многу </w:t>
      </w:r>
      <w:r w:rsidRPr="00C9671E">
        <w:rPr>
          <w:rFonts w:ascii="Times New Roman" w:hAnsi="Times New Roman" w:cs="Times New Roman"/>
          <w:sz w:val="24"/>
        </w:rPr>
        <w:lastRenderedPageBreak/>
        <w:t>зголемени во споредба со 2020 година.</w:t>
      </w:r>
      <w:r w:rsidRPr="00C9671E">
        <w:rPr>
          <w:rFonts w:ascii="Times New Roman" w:hAnsi="Times New Roman" w:cs="Times New Roman"/>
          <w:sz w:val="24"/>
          <w:vertAlign w:val="superscript"/>
        </w:rPr>
        <w:footnoteReference w:id="13"/>
      </w:r>
      <w:r w:rsidRPr="00C9671E">
        <w:rPr>
          <w:rFonts w:ascii="Times New Roman" w:hAnsi="Times New Roman" w:cs="Times New Roman"/>
          <w:sz w:val="24"/>
        </w:rPr>
        <w:t xml:space="preserve"> Дефицитот (5,4 % од БДП) остана под ревидираната цел и значително под дефицитот во 2020 година. Спроведувањето на мерките во 2021 година од шесте пакети на антикризни мерки изнесуваше околу 2,5 % од БДП. Буџетот за 2022 година предвидува постепено укинување на поддршката поврзана со пандемијата во услови на големо зголемување на капиталните расходи. Во март 2022 година, Владата донесе мерки во вкупна вредност од околу 400 милиони евра, за да се ублажи негативното економско влијание од зголемувањето на цените на храната и енергијата. Ова вклучува трансфери до државниот производител на електрична енергија за субвенционирање на цените на регулираниот пазар, како и привремено намалување на стапката на ДДВ на горивото, гасното масло и течниот нафтен гас (ТНГ) од 18 % на 10% (овие мерки истекоа на 1 јуни) и продолжување на пониската стапка на ДДВ на електричната енергија, што го одложува постепеното враќање на редовната стапка од 18 %,</w:t>
      </w:r>
      <w:r w:rsidRPr="00C9671E">
        <w:rPr>
          <w:rFonts w:ascii="Times New Roman" w:hAnsi="Times New Roman" w:cs="Times New Roman"/>
          <w:sz w:val="24"/>
          <w:vertAlign w:val="superscript"/>
        </w:rPr>
        <w:footnoteReference w:id="14"/>
      </w:r>
      <w:r w:rsidRPr="00C9671E">
        <w:rPr>
          <w:rFonts w:ascii="Times New Roman" w:hAnsi="Times New Roman" w:cs="Times New Roman"/>
          <w:sz w:val="24"/>
        </w:rPr>
        <w:t xml:space="preserve"> како и привремената нулта стапка на основните прехранбени производи. За да се приспособи на овој пакет, Владата, во мај 2022 година, го ревидираше буџетот, зголемувајќи го прагот на дефицитот на 5,3 % (+ 1 пп во споредба со првичниот буџет за 2022 година), и покрај зголемувањето на даночните приходи поттикнати од инфлацијата во првиот квартал.</w:t>
      </w:r>
    </w:p>
    <w:p w14:paraId="200E44AE" w14:textId="65361542"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Нивоата на долг се стабилизираа во 2021 година по порастот предизвикан од пандемијата во 2020 година.</w:t>
      </w:r>
      <w:r w:rsidRPr="00C9671E">
        <w:rPr>
          <w:rFonts w:ascii="Times New Roman" w:hAnsi="Times New Roman" w:cs="Times New Roman"/>
          <w:sz w:val="24"/>
        </w:rPr>
        <w:t xml:space="preserve"> И општиот државен долг и јавниот долг се намалија незначително во 2021 година како дел од БДП. Државниот долг изнесуваше 51,8 % од БДП на крајот на 2021 година (-0,1 пп годишно), откако се зголеми за 10,4 пп на годишно ниво во 2020 година. Учеството на девизниот долг се зголеми и во двете години, бидејќи барањата за финансирање во голем дел беа покриени преку задолжување во странство. Освен финансирањето на сè уште зголемениот буџетски дефицит во 2021 година, Владата требаше да префрли еврообврзница вредна 500 милиони евра, која се рефинансираше преку нова еврообврзница издадена во март 2021 година (700 милиони евра). Без доспевање на еврообврзницата, потребите за </w:t>
      </w:r>
      <w:r>
        <w:rPr>
          <w:rFonts w:ascii="Times New Roman" w:hAnsi="Times New Roman" w:cs="Times New Roman"/>
          <w:sz w:val="24"/>
        </w:rPr>
        <w:t>рефинансирањето</w:t>
      </w:r>
      <w:r w:rsidRPr="00C9671E">
        <w:rPr>
          <w:rFonts w:ascii="Times New Roman" w:hAnsi="Times New Roman" w:cs="Times New Roman"/>
          <w:sz w:val="24"/>
        </w:rPr>
        <w:t xml:space="preserve"> на долгот се бенигни во 2022 година, но финансирањето на сѐ уште зголемениот буџетски дефицит бара внимателно управување со долгот во услови на заострување на глобалните финансиски услови.</w:t>
      </w:r>
    </w:p>
    <w:p w14:paraId="5E6D7823"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Остануваат недостатоците во управувањето со јавните финансии.</w:t>
      </w:r>
      <w:r w:rsidRPr="00C9671E">
        <w:rPr>
          <w:rFonts w:ascii="Times New Roman" w:hAnsi="Times New Roman" w:cs="Times New Roman"/>
          <w:sz w:val="24"/>
        </w:rPr>
        <w:t xml:space="preserve"> Недостатоците во наплаќањето на приходите и големиот број даночни ослободувања што ја нагризуваат даночната основ</w:t>
      </w:r>
      <w:r>
        <w:rPr>
          <w:rFonts w:ascii="Times New Roman" w:hAnsi="Times New Roman" w:cs="Times New Roman"/>
          <w:sz w:val="24"/>
        </w:rPr>
        <w:t>иц</w:t>
      </w:r>
      <w:r w:rsidRPr="00C9671E">
        <w:rPr>
          <w:rFonts w:ascii="Times New Roman" w:hAnsi="Times New Roman" w:cs="Times New Roman"/>
          <w:sz w:val="24"/>
        </w:rPr>
        <w:t>а придонесоа за пад на коефициентот на јавните приходи во последните години. Зголемената сметка за пензии носи дополнителни ризици за фискалната одржливост, влошена со неодамнешната промена во формулата за индексирање, наглиот пораст на минималните плати и еднократното зголемување на пензиите во првата половина на 2022 година. Дополнителни фискални ризици произлегуваат од неодамнешното повторно појавување на високи буџетски долгови во здравствениот сектор.</w:t>
      </w:r>
    </w:p>
    <w:p w14:paraId="28A6C802"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Спроведувањето на реформите во фискалната политика се одвиваше бавно. </w:t>
      </w:r>
      <w:r w:rsidRPr="00C9671E">
        <w:rPr>
          <w:rFonts w:ascii="Times New Roman" w:hAnsi="Times New Roman" w:cs="Times New Roman"/>
          <w:sz w:val="24"/>
        </w:rPr>
        <w:t xml:space="preserve">Спроведувањето на Акцискиот план за подобрување на управувањето со јавните инвестиции (УЈИ) е значително одложено, вклучувајќи го и формирањето посебна единица за УЈИ во Министерството за финансии. Нацрт-законот за јавно-приватно партнерство (ЈПП) за справување со недостатоците во сегашната рамка што ги регулира </w:t>
      </w:r>
      <w:r w:rsidRPr="00C9671E">
        <w:rPr>
          <w:rFonts w:ascii="Times New Roman" w:hAnsi="Times New Roman" w:cs="Times New Roman"/>
          <w:sz w:val="24"/>
        </w:rPr>
        <w:lastRenderedPageBreak/>
        <w:t xml:space="preserve">ЈПП и концесиите беше финализиран во 2021 година, но сè уште се чека на донесување од Владата. Законот, кој исто така предвидува подобрено следење на фискалните ризици што произлегуваат од ЈПП, би го олеснил планираното зголемување на јавните инвестиции. Владата не напредуваше многу во спроведувањето на својот Акциски план од март 2021 година, со кој се операционализира Стратегијата за реформа на даночниот систем 2020 </w:t>
      </w:r>
      <w:r w:rsidRPr="00C9671E">
        <w:rPr>
          <w:rFonts w:ascii="Times New Roman" w:hAnsi="Times New Roman" w:cs="Times New Roman"/>
          <w:i/>
          <w:iCs/>
          <w:sz w:val="24"/>
        </w:rPr>
        <w:t xml:space="preserve">– </w:t>
      </w:r>
      <w:r w:rsidRPr="00C9671E">
        <w:rPr>
          <w:rFonts w:ascii="Times New Roman" w:hAnsi="Times New Roman" w:cs="Times New Roman"/>
          <w:sz w:val="24"/>
        </w:rPr>
        <w:t>2023. Наместо тоа, даночната основ</w:t>
      </w:r>
      <w:r>
        <w:rPr>
          <w:rFonts w:ascii="Times New Roman" w:hAnsi="Times New Roman" w:cs="Times New Roman"/>
          <w:sz w:val="24"/>
        </w:rPr>
        <w:t>иц</w:t>
      </w:r>
      <w:r w:rsidRPr="00C9671E">
        <w:rPr>
          <w:rFonts w:ascii="Times New Roman" w:hAnsi="Times New Roman" w:cs="Times New Roman"/>
          <w:sz w:val="24"/>
        </w:rPr>
        <w:t>а беше дополнително стеснета преку нови, делумно трајни ослободувања, како на пример за персоналниот данок на доход во ИТ-индустријата. Во август, Владата објави планови за даночни реформи насочени кон проширување на даночната основ</w:t>
      </w:r>
      <w:r>
        <w:rPr>
          <w:rFonts w:ascii="Times New Roman" w:hAnsi="Times New Roman" w:cs="Times New Roman"/>
          <w:sz w:val="24"/>
        </w:rPr>
        <w:t>иц</w:t>
      </w:r>
      <w:r w:rsidRPr="00C9671E">
        <w:rPr>
          <w:rFonts w:ascii="Times New Roman" w:hAnsi="Times New Roman" w:cs="Times New Roman"/>
          <w:sz w:val="24"/>
        </w:rPr>
        <w:t xml:space="preserve">а, вклучително и воведување прогресивно оданочување на доходот, кои треба да се спроведат во периодот 2023 </w:t>
      </w:r>
      <w:r w:rsidRPr="00C9671E">
        <w:rPr>
          <w:rFonts w:ascii="Times New Roman" w:hAnsi="Times New Roman" w:cs="Times New Roman"/>
          <w:i/>
          <w:iCs/>
          <w:sz w:val="24"/>
        </w:rPr>
        <w:t xml:space="preserve">– </w:t>
      </w:r>
      <w:r w:rsidRPr="00C9671E">
        <w:rPr>
          <w:rFonts w:ascii="Times New Roman" w:hAnsi="Times New Roman" w:cs="Times New Roman"/>
          <w:sz w:val="24"/>
        </w:rPr>
        <w:t>2025 година.</w:t>
      </w:r>
    </w:p>
    <w:p w14:paraId="2153C0C8"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Напредокот во спроведувањето на Законот за </w:t>
      </w:r>
      <w:r w:rsidRPr="00705B41">
        <w:rPr>
          <w:rFonts w:ascii="Times New Roman" w:hAnsi="Times New Roman" w:cs="Times New Roman"/>
          <w:b/>
          <w:sz w:val="24"/>
        </w:rPr>
        <w:t>буџетите</w:t>
      </w:r>
      <w:r w:rsidRPr="00C9671E">
        <w:rPr>
          <w:rFonts w:ascii="Times New Roman" w:hAnsi="Times New Roman" w:cs="Times New Roman"/>
          <w:b/>
          <w:sz w:val="24"/>
        </w:rPr>
        <w:t xml:space="preserve"> е бавен. </w:t>
      </w:r>
      <w:r w:rsidRPr="00C9671E">
        <w:rPr>
          <w:rFonts w:ascii="Times New Roman" w:hAnsi="Times New Roman" w:cs="Times New Roman"/>
          <w:sz w:val="24"/>
        </w:rPr>
        <w:t>Новиот Закон за буџетите, донесен од Собранието во септември 2022 година по долга постапка, бара суштински подзаконски акти, чијшто развој е само во почетна фаза. Покрај тоа, неговото спроведување во голема мера зависи од воведувањето на новиот интегриран информациски систем за управување со финансиите (ИФМИС), кој исто така треба да се воведе.</w:t>
      </w:r>
    </w:p>
    <w:p w14:paraId="25177A25" w14:textId="66DA6688"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Комбинацијата на политики имаше за цел да го ублажи влијанието од пандемијата и порастот на трошоците за живот, но фискалната поддршка можеше да биде подобро насочена со оглед на расположливиот фискален простор. </w:t>
      </w:r>
      <w:r w:rsidRPr="00C9671E">
        <w:rPr>
          <w:rFonts w:ascii="Times New Roman" w:hAnsi="Times New Roman" w:cs="Times New Roman"/>
          <w:sz w:val="24"/>
        </w:rPr>
        <w:t xml:space="preserve">Со зголемување на притисоците врз буџетот, широката фискална поддршка, како што се даночните ослободувања за енергетските производи, претставува ризик за фискалната одржливост. Владата се соочува со предизвикот да </w:t>
      </w:r>
      <w:r>
        <w:rPr>
          <w:rFonts w:ascii="Times New Roman" w:hAnsi="Times New Roman" w:cs="Times New Roman"/>
          <w:sz w:val="24"/>
        </w:rPr>
        <w:t xml:space="preserve">ја </w:t>
      </w:r>
      <w:r w:rsidRPr="00C9671E">
        <w:rPr>
          <w:rFonts w:ascii="Times New Roman" w:hAnsi="Times New Roman" w:cs="Times New Roman"/>
          <w:sz w:val="24"/>
        </w:rPr>
        <w:t>насочи поддршка</w:t>
      </w:r>
      <w:r>
        <w:rPr>
          <w:rFonts w:ascii="Times New Roman" w:hAnsi="Times New Roman" w:cs="Times New Roman"/>
          <w:sz w:val="24"/>
        </w:rPr>
        <w:t>та</w:t>
      </w:r>
      <w:r w:rsidRPr="00C9671E">
        <w:rPr>
          <w:rFonts w:ascii="Times New Roman" w:hAnsi="Times New Roman" w:cs="Times New Roman"/>
          <w:sz w:val="24"/>
        </w:rPr>
        <w:t xml:space="preserve"> </w:t>
      </w:r>
      <w:r>
        <w:rPr>
          <w:rFonts w:ascii="Times New Roman" w:hAnsi="Times New Roman" w:cs="Times New Roman"/>
          <w:sz w:val="24"/>
        </w:rPr>
        <w:t>кон</w:t>
      </w:r>
      <w:r w:rsidRPr="00C9671E">
        <w:rPr>
          <w:rFonts w:ascii="Times New Roman" w:hAnsi="Times New Roman" w:cs="Times New Roman"/>
          <w:sz w:val="24"/>
        </w:rPr>
        <w:t xml:space="preserve"> ранливите домаќинства и компании и поддршката да ја задржи привремено. Недостатоците во планирањето, спроведувањето и следењето на мерките, како и во нивната транспарентност и отчетност, влијаат на нивната ефикасност.</w:t>
      </w:r>
      <w:r w:rsidRPr="00C9671E">
        <w:rPr>
          <w:rFonts w:ascii="Times New Roman" w:hAnsi="Times New Roman" w:cs="Times New Roman"/>
          <w:sz w:val="24"/>
          <w:vertAlign w:val="superscript"/>
        </w:rPr>
        <w:footnoteReference w:id="15"/>
      </w:r>
      <w:r w:rsidRPr="00C9671E">
        <w:rPr>
          <w:rFonts w:ascii="Times New Roman" w:hAnsi="Times New Roman" w:cs="Times New Roman"/>
          <w:sz w:val="24"/>
        </w:rPr>
        <w:t xml:space="preserve"> Владата, исто така, треба да предвиди постепено враќање на фискалната консолидација штом закрепнувањето цврсто ќе се втемели. Неодамнешното заострување на монетарната политика беше соодветно, со оглед на зголемените ценовни притисоци.</w:t>
      </w:r>
    </w:p>
    <w:p w14:paraId="10B5ADD8" w14:textId="77777777"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sz w:val="24"/>
          <w:u w:val="single"/>
        </w:rPr>
        <w:t>Функционирање на пазарите на производи</w:t>
      </w:r>
    </w:p>
    <w:p w14:paraId="24DAE720" w14:textId="77777777" w:rsidR="00A50BBD" w:rsidRPr="00C9671E" w:rsidRDefault="00A50BBD" w:rsidP="006E4EB0">
      <w:pPr>
        <w:spacing w:after="120" w:line="240" w:lineRule="auto"/>
        <w:jc w:val="both"/>
        <w:rPr>
          <w:rFonts w:ascii="Times New Roman" w:hAnsi="Times New Roman" w:cs="Times New Roman"/>
          <w:i/>
          <w:color w:val="44546A"/>
          <w:sz w:val="24"/>
          <w:szCs w:val="24"/>
        </w:rPr>
      </w:pPr>
      <w:r w:rsidRPr="00C9671E">
        <w:rPr>
          <w:rFonts w:ascii="Times New Roman" w:hAnsi="Times New Roman" w:cs="Times New Roman"/>
          <w:i/>
          <w:color w:val="000000"/>
          <w:sz w:val="24"/>
        </w:rPr>
        <w:t>Деловно опкружување</w:t>
      </w:r>
    </w:p>
    <w:p w14:paraId="7CE17E2E" w14:textId="008CE6B7" w:rsidR="00A50BBD" w:rsidRPr="00C9671E" w:rsidRDefault="00A50BBD" w:rsidP="006E4EB0">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Рационализирањето на низата парафискални давачки напредуваше бавно.</w:t>
      </w:r>
      <w:r w:rsidRPr="00C9671E">
        <w:rPr>
          <w:rFonts w:ascii="Times New Roman" w:hAnsi="Times New Roman" w:cs="Times New Roman"/>
          <w:sz w:val="24"/>
        </w:rPr>
        <w:t xml:space="preserve"> Откако Владата го направи првиот чекор на почетокот од 2021 година кон намалување на бројот на парафискални давачки, процесот на процена и оптимизирање на објавениот список од 377 давачки на централно и локално ниво не напредуваше многу. Се одолговле</w:t>
      </w:r>
      <w:r>
        <w:rPr>
          <w:rFonts w:ascii="Times New Roman" w:hAnsi="Times New Roman" w:cs="Times New Roman"/>
          <w:sz w:val="24"/>
        </w:rPr>
        <w:t>коа</w:t>
      </w:r>
      <w:r w:rsidRPr="00C9671E">
        <w:rPr>
          <w:rFonts w:ascii="Times New Roman" w:hAnsi="Times New Roman" w:cs="Times New Roman"/>
          <w:sz w:val="24"/>
        </w:rPr>
        <w:t xml:space="preserve"> и спроведувањето на другите клучни мерки за подобрување на деловното опкружување, како што е спроведувањето на Законот за инспекциски надзор од 2019 година и спроведувањето транспарентни и доследни постапки за инспекциски надзор. Новиот Закон за стечај, наменет да го олесни излегувањето од пазарот преку намалување на трошоците и времето на постапките, сè уште не е донесен. Употребата на скратени постапки за јавни консултации не е намалена, додека контролата на квалитетот и последователното следење на консултациите остануваат недоволни. Опсегот на дигитални услуги достапни на националниот портал за е-услуги со целосна електронска интеракција не е многу зголемен, при што спроведувањето страда од низок институционален капацитет. Генерално, владиниот пристап за поедноставување на </w:t>
      </w:r>
      <w:r w:rsidRPr="00C9671E">
        <w:rPr>
          <w:rFonts w:ascii="Times New Roman" w:hAnsi="Times New Roman" w:cs="Times New Roman"/>
          <w:sz w:val="24"/>
        </w:rPr>
        <w:lastRenderedPageBreak/>
        <w:t>деловното опкружување не е доволно систематски и доследен.</w:t>
      </w:r>
    </w:p>
    <w:p w14:paraId="71B29675" w14:textId="387BA291" w:rsidR="00A50BBD" w:rsidRPr="00C9671E" w:rsidRDefault="00A50BBD" w:rsidP="006E4EB0">
      <w:pPr>
        <w:spacing w:after="120" w:line="240" w:lineRule="auto"/>
        <w:jc w:val="both"/>
        <w:rPr>
          <w:rFonts w:ascii="Times New Roman" w:hAnsi="Times New Roman" w:cs="Times New Roman"/>
          <w:bCs/>
          <w:color w:val="000000"/>
          <w:sz w:val="24"/>
          <w:szCs w:val="24"/>
          <w:shd w:val="clear" w:color="000000" w:fill="auto"/>
        </w:rPr>
      </w:pPr>
      <w:r w:rsidRPr="00C9671E">
        <w:rPr>
          <w:rFonts w:ascii="Times New Roman" w:hAnsi="Times New Roman" w:cs="Times New Roman"/>
          <w:b/>
          <w:color w:val="000000"/>
          <w:sz w:val="24"/>
        </w:rPr>
        <w:t xml:space="preserve">Предизвиците од големата неформална економија не се решаваат на </w:t>
      </w:r>
      <w:r>
        <w:rPr>
          <w:rFonts w:ascii="Times New Roman" w:hAnsi="Times New Roman" w:cs="Times New Roman"/>
          <w:b/>
          <w:color w:val="000000"/>
          <w:sz w:val="24"/>
        </w:rPr>
        <w:t>решителен</w:t>
      </w:r>
      <w:r w:rsidRPr="00C9671E">
        <w:rPr>
          <w:rFonts w:ascii="Times New Roman" w:hAnsi="Times New Roman" w:cs="Times New Roman"/>
          <w:b/>
          <w:color w:val="000000"/>
          <w:sz w:val="24"/>
        </w:rPr>
        <w:t xml:space="preserve"> начин. </w:t>
      </w:r>
      <w:r w:rsidRPr="00C9671E">
        <w:rPr>
          <w:rFonts w:ascii="Times New Roman" w:hAnsi="Times New Roman" w:cs="Times New Roman"/>
          <w:color w:val="000000"/>
          <w:sz w:val="24"/>
        </w:rPr>
        <w:t>Неформалната економија и натаму претставува значајна пречка за деловното работење на регулираните фирми. Според процените на ММФ, таа би можело да изнесува дури 38 % од БДП.</w:t>
      </w:r>
      <w:r w:rsidRPr="00C9671E">
        <w:rPr>
          <w:rFonts w:ascii="Times New Roman" w:hAnsi="Times New Roman" w:cs="Times New Roman"/>
          <w:color w:val="000000"/>
          <w:sz w:val="24"/>
          <w:vertAlign w:val="superscript"/>
        </w:rPr>
        <w:footnoteReference w:id="16"/>
      </w:r>
      <w:r w:rsidRPr="00C9671E">
        <w:rPr>
          <w:rFonts w:ascii="Times New Roman" w:hAnsi="Times New Roman" w:cs="Times New Roman"/>
          <w:color w:val="000000"/>
          <w:sz w:val="24"/>
        </w:rPr>
        <w:t xml:space="preserve"> Спроведувањето на владината стратегија и акциски</w:t>
      </w:r>
      <w:r>
        <w:rPr>
          <w:rFonts w:ascii="Times New Roman" w:hAnsi="Times New Roman" w:cs="Times New Roman"/>
          <w:color w:val="000000"/>
          <w:sz w:val="24"/>
        </w:rPr>
        <w:t>от</w:t>
      </w:r>
      <w:r w:rsidRPr="00C9671E">
        <w:rPr>
          <w:rFonts w:ascii="Times New Roman" w:hAnsi="Times New Roman" w:cs="Times New Roman"/>
          <w:color w:val="000000"/>
          <w:sz w:val="24"/>
        </w:rPr>
        <w:t xml:space="preserve"> план за борба против неформалната економија останува бавно, особено во однос на формализирањето на непријавените работници. </w:t>
      </w:r>
      <w:r w:rsidRPr="00C9671E">
        <w:rPr>
          <w:rFonts w:ascii="Times New Roman" w:hAnsi="Times New Roman" w:cs="Times New Roman"/>
          <w:sz w:val="24"/>
        </w:rPr>
        <w:t xml:space="preserve">Во октомври 2021 година, Владата донесе извештај за оценување на спроведувањето на овој план, а донесе и нов Акциски план 2021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2022. </w:t>
      </w:r>
      <w:r w:rsidRPr="00C9671E">
        <w:rPr>
          <w:rFonts w:ascii="Times New Roman" w:hAnsi="Times New Roman" w:cs="Times New Roman"/>
          <w:color w:val="000000"/>
          <w:sz w:val="24"/>
        </w:rPr>
        <w:t>Неформалниот сектор во земјата има различни форми, од кои најистакнати се непријавената работна сила, делумно непријавените плати и други нерегуларности во спроведувањето на Законот за работните односи.</w:t>
      </w:r>
    </w:p>
    <w:p w14:paraId="6B42E822" w14:textId="77777777" w:rsidR="00A50BBD" w:rsidRPr="00C9671E" w:rsidRDefault="00A50BBD" w:rsidP="006E4EB0">
      <w:pPr>
        <w:keepNext/>
        <w:keepLines/>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rPr>
        <w:t>Влијание на државата врз пазарот на производи</w:t>
      </w:r>
    </w:p>
    <w:p w14:paraId="00D05445"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Транспарентноста и ефикасноста на државната помош остануваат дефицитарни.</w:t>
      </w:r>
      <w:r w:rsidRPr="00C9671E">
        <w:rPr>
          <w:rFonts w:ascii="Times New Roman" w:hAnsi="Times New Roman" w:cs="Times New Roman"/>
          <w:sz w:val="24"/>
        </w:rPr>
        <w:t xml:space="preserve"> Државната помош беше засилена во 2020 година (7,9 % од БДП) и 2021 година (6,8 %), во споредба со периодот пред КОВИД-19 (просек 2017-2019</w:t>
      </w:r>
      <w:r>
        <w:rPr>
          <w:rFonts w:ascii="Times New Roman" w:hAnsi="Times New Roman" w:cs="Times New Roman"/>
          <w:sz w:val="24"/>
        </w:rPr>
        <w:t xml:space="preserve"> година</w:t>
      </w:r>
      <w:r w:rsidRPr="00C9671E">
        <w:rPr>
          <w:rFonts w:ascii="Times New Roman" w:hAnsi="Times New Roman" w:cs="Times New Roman"/>
          <w:sz w:val="24"/>
        </w:rPr>
        <w:t>: 5,3 %), но нејзиното управување дополнително се влоши. Додека органите обезбедија јавно ширење информации поврзани со донесувањето на мерките за поддршка при КОВИД-19, вклучително и преку посебна веб-страница, обезбедените информации остануваат нецелосни, а критериумите за избор на корисници честопати се нејасни. Антикризните мерки страдаат од несоодветно планирање, спроведување и следење, како и од транспарентност и отчетност. Има недоволна претходна анализа на потенцијалното влијание и недоволна последователна евалуација на ефикасноста, како што покажа извештајот на Државниот завод за ревизија од април 2022 година. Владата обезбеди и поддршка за ликвидност за компаниите, во форма на кредит без камата. Севкупно, транспарентноста и ефективноста на државната помош се засегнати од високиот број даватели на државна помош, од недостатокот на ажуриран регистар и од сè уште маргиналните надлежности на Комисијата за заштита на конкуренцијата (КЗК) при надзорот на државната помош. Како предуслов за формирање регистар за државна помош, Владата воспоставува информациски систем за управување што поврзува различни институции, но, во целина, процесот е одложен. Пазарот на енергија беше целосно либерализиран во 2019 година. Меѓутоа, во 2021 година, реформите во енергетскиот сектор забавија бидејќи немаше опиплив напредок, ниту во раздвојувањето на операторот на системот за пренос на гас ГА-МА АД, иако долгогодишниот спор околу неговата сопственост конечно беше решен. Во 2021 година, 53,5 % од потребите за електрична енергија се обезбедени на отворениот пазар на електрична енергија. Овој удел се зголеми во споредба со 52,24 % во 2020 година. Над 20.000 потрошувачи на мало ги сменија добавувачите во 2021 година.</w:t>
      </w:r>
    </w:p>
    <w:p w14:paraId="533D8E8B" w14:textId="77777777" w:rsidR="00A50BBD" w:rsidRPr="00C9671E" w:rsidRDefault="00A50BBD" w:rsidP="006E4EB0">
      <w:pPr>
        <w:widowControl w:val="0"/>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rPr>
        <w:t>Приватизација и преструктурирање</w:t>
      </w:r>
    </w:p>
    <w:p w14:paraId="7B923C2A" w14:textId="77777777" w:rsidR="00A50BBD" w:rsidRPr="00C9671E" w:rsidRDefault="00A50BBD" w:rsidP="006E4EB0">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Уделот на јавниот сектор во економијата останува низок.</w:t>
      </w:r>
      <w:r w:rsidRPr="00C9671E">
        <w:rPr>
          <w:rFonts w:ascii="Times New Roman" w:hAnsi="Times New Roman" w:cs="Times New Roman"/>
          <w:sz w:val="24"/>
        </w:rPr>
        <w:t xml:space="preserve"> Во 2021 година, бројот на компании во целосна државна сопственост се зголеми за една (ГА-МА АД Скопје, пренос на гас), на 17, во споредба со претходните три години. Бројот на компании во делумна сопственост се намали за една, на 39, од кои повеќето со учество на државна сопственост под 1 % од издадениот капитал).</w:t>
      </w:r>
      <w:r w:rsidRPr="00C9671E">
        <w:rPr>
          <w:rFonts w:ascii="Times New Roman" w:hAnsi="Times New Roman" w:cs="Times New Roman"/>
          <w:sz w:val="24"/>
          <w:vertAlign w:val="superscript"/>
        </w:rPr>
        <w:footnoteReference w:id="17"/>
      </w:r>
      <w:r w:rsidRPr="00C9671E">
        <w:rPr>
          <w:rFonts w:ascii="Times New Roman" w:hAnsi="Times New Roman" w:cs="Times New Roman"/>
          <w:sz w:val="24"/>
        </w:rPr>
        <w:t xml:space="preserve"> Вкупната вредност на државната </w:t>
      </w:r>
      <w:r w:rsidRPr="00C9671E">
        <w:rPr>
          <w:rFonts w:ascii="Times New Roman" w:hAnsi="Times New Roman" w:cs="Times New Roman"/>
          <w:sz w:val="24"/>
        </w:rPr>
        <w:lastRenderedPageBreak/>
        <w:t>сопственост во претпријатијата изнесуваше околу 10 % од БДП. Во моментов нема планови за натамошни приватизации.</w:t>
      </w:r>
    </w:p>
    <w:p w14:paraId="341B227A" w14:textId="77777777"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sz w:val="24"/>
          <w:u w:val="single"/>
        </w:rPr>
        <w:t>Функционирање на финансискиот пазар</w:t>
      </w:r>
    </w:p>
    <w:p w14:paraId="100668AE" w14:textId="77777777" w:rsidR="00A50BBD" w:rsidRPr="00C9671E" w:rsidRDefault="00A50BBD" w:rsidP="006E4EB0">
      <w:pPr>
        <w:spacing w:after="120" w:line="240" w:lineRule="auto"/>
        <w:jc w:val="both"/>
        <w:rPr>
          <w:rFonts w:ascii="Times New Roman" w:hAnsi="Times New Roman" w:cs="Times New Roman"/>
          <w:i/>
          <w:color w:val="000000"/>
          <w:sz w:val="24"/>
          <w:szCs w:val="24"/>
        </w:rPr>
      </w:pPr>
      <w:r w:rsidRPr="00C9671E">
        <w:rPr>
          <w:rFonts w:ascii="Times New Roman" w:hAnsi="Times New Roman" w:cs="Times New Roman"/>
          <w:i/>
          <w:color w:val="000000"/>
          <w:sz w:val="24"/>
        </w:rPr>
        <w:t>Финансиска стабилност</w:t>
      </w:r>
    </w:p>
    <w:p w14:paraId="60EAA43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color w:val="000000"/>
          <w:sz w:val="24"/>
        </w:rPr>
        <w:t xml:space="preserve">Банкарскиот сектор остана незасегнат во текот на целата криза. </w:t>
      </w:r>
      <w:r w:rsidRPr="00C9671E">
        <w:rPr>
          <w:rFonts w:ascii="Times New Roman" w:hAnsi="Times New Roman" w:cs="Times New Roman"/>
          <w:color w:val="000000"/>
          <w:sz w:val="24"/>
        </w:rPr>
        <w:t xml:space="preserve">Банките се добро </w:t>
      </w:r>
      <w:r w:rsidRPr="00C9671E">
        <w:rPr>
          <w:rFonts w:ascii="Times New Roman" w:hAnsi="Times New Roman" w:cs="Times New Roman"/>
          <w:sz w:val="24"/>
        </w:rPr>
        <w:t xml:space="preserve">капитализирани, ликвидни и профитабилни. Стапката на адекватност на капиталот дополнително се зголеми во 2021 година и беше над нивото од пет години претходно (+2,1 пп на 17,3 % од активата пондерирана според ризик), значително надминувајќи го регулаторниот минимум. Ликвидните средства сочинуваат над една третина од вкупните средства на крајот од 2021 година и покриваат повеќе од половина од краткорочните обврски. Приносот на капиталот (12,9 %) беше повисок од пред една година. Финансирањето на банките беше стабилно, при што односот кредити </w:t>
      </w:r>
      <w:r w:rsidRPr="00C9671E">
        <w:rPr>
          <w:rFonts w:ascii="Times New Roman" w:hAnsi="Times New Roman" w:cs="Times New Roman"/>
          <w:i/>
          <w:iCs/>
          <w:sz w:val="24"/>
        </w:rPr>
        <w:t xml:space="preserve">– </w:t>
      </w:r>
      <w:r w:rsidRPr="00C9671E">
        <w:rPr>
          <w:rFonts w:ascii="Times New Roman" w:hAnsi="Times New Roman" w:cs="Times New Roman"/>
          <w:sz w:val="24"/>
        </w:rPr>
        <w:t>депозити беше непроменет од година во година (82 %). Сепак, финансиската диверзификација напредува бавно, при што банките сочинуваат околу 80,5 % од средствата на финансискиот сектор на крајот од 2020 година, пониски за 5,3 пп во споредба со крајот на 2015 година. Учеството на странскиот капитал во вкупниот капитал на банките е постојано високо во последните пет години, на околу 75 %.</w:t>
      </w:r>
    </w:p>
    <w:p w14:paraId="24A9C27F" w14:textId="2A060FA5"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Побарувачката за девизни депозити останува голема. </w:t>
      </w:r>
      <w:r w:rsidRPr="00C9671E">
        <w:rPr>
          <w:rFonts w:ascii="Times New Roman" w:hAnsi="Times New Roman" w:cs="Times New Roman"/>
          <w:sz w:val="24"/>
        </w:rPr>
        <w:t xml:space="preserve">Продолжи </w:t>
      </w:r>
      <w:r>
        <w:rPr>
          <w:rFonts w:ascii="Times New Roman" w:hAnsi="Times New Roman" w:cs="Times New Roman"/>
          <w:sz w:val="24"/>
        </w:rPr>
        <w:t>наклонетоста</w:t>
      </w:r>
      <w:r w:rsidRPr="00C9671E">
        <w:rPr>
          <w:rFonts w:ascii="Times New Roman" w:hAnsi="Times New Roman" w:cs="Times New Roman"/>
          <w:sz w:val="24"/>
        </w:rPr>
        <w:t xml:space="preserve"> на штедачите </w:t>
      </w:r>
      <w:r>
        <w:rPr>
          <w:rFonts w:ascii="Times New Roman" w:hAnsi="Times New Roman" w:cs="Times New Roman"/>
          <w:sz w:val="24"/>
        </w:rPr>
        <w:t>кон</w:t>
      </w:r>
      <w:r w:rsidRPr="00C9671E">
        <w:rPr>
          <w:rFonts w:ascii="Times New Roman" w:hAnsi="Times New Roman" w:cs="Times New Roman"/>
          <w:sz w:val="24"/>
        </w:rPr>
        <w:t xml:space="preserve"> депозити во евра, поттикнат</w:t>
      </w:r>
      <w:r>
        <w:rPr>
          <w:rFonts w:ascii="Times New Roman" w:hAnsi="Times New Roman" w:cs="Times New Roman"/>
          <w:sz w:val="24"/>
        </w:rPr>
        <w:t>а</w:t>
      </w:r>
      <w:r w:rsidRPr="00C9671E">
        <w:rPr>
          <w:rFonts w:ascii="Times New Roman" w:hAnsi="Times New Roman" w:cs="Times New Roman"/>
          <w:sz w:val="24"/>
        </w:rPr>
        <w:t xml:space="preserve"> од, прво, кризата со КОВИД-19, а потоа и од енергетската криза. Учеството на девизи во вкупните банкарски депозити се зголемува секој квартал од крајот на 2020 година и изнесува 47,4 % на крајот од првиот квартал во 2022 година (+5,2 пп годишно). Ова ги поттикна монетарните власти, кон крајот на март 2022 година, да ги изменат барањата за резерва, со цел да ги промовираат депозитите во локалната валута во согласност со својата стратегија за денаризација од 2018 година. Учеството на девизните деноминации во вкупните кредити, пак, забележа пад во истиот период. </w:t>
      </w:r>
      <w:r>
        <w:rPr>
          <w:rFonts w:ascii="Times New Roman" w:hAnsi="Times New Roman" w:cs="Times New Roman"/>
          <w:sz w:val="24"/>
        </w:rPr>
        <w:t>Соо</w:t>
      </w:r>
      <w:r w:rsidRPr="00C9671E">
        <w:rPr>
          <w:rFonts w:ascii="Times New Roman" w:hAnsi="Times New Roman" w:cs="Times New Roman"/>
          <w:sz w:val="24"/>
        </w:rPr>
        <w:t>дносот на нефункционалните кредити НФК во вкупните кредити кон нефинансискиот сектор континуирано се намалува од крајот на 2013 година, на рекордно ниско ниво од 3,1 % на крајот на првиот квартал од 2022 година. Домаќинствата и корпорациите имаа придобивка од регулаторното олеснување во однос на кредитирањето, вклучително и мерките што им овозможуваат на банките да одобрат привремен мораториум на отплатата на кредитите, кои беа постепено укинати во 2021 година.</w:t>
      </w:r>
    </w:p>
    <w:p w14:paraId="1F973BAF" w14:textId="4592F5FF"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Преземени се чекори за зајакнување на институционалната рамка за обезбедување финансиска стабилност. </w:t>
      </w:r>
      <w:r w:rsidRPr="00C9671E">
        <w:rPr>
          <w:rFonts w:ascii="Times New Roman" w:hAnsi="Times New Roman" w:cs="Times New Roman"/>
          <w:sz w:val="24"/>
        </w:rPr>
        <w:t xml:space="preserve">Остануваат да се донесат измените на Законот за финансиска стабилност, со кои на </w:t>
      </w:r>
      <w:r>
        <w:rPr>
          <w:rFonts w:ascii="Times New Roman" w:hAnsi="Times New Roman" w:cs="Times New Roman"/>
          <w:sz w:val="24"/>
        </w:rPr>
        <w:t>Ц</w:t>
      </w:r>
      <w:r w:rsidRPr="00C9671E">
        <w:rPr>
          <w:rFonts w:ascii="Times New Roman" w:hAnsi="Times New Roman" w:cs="Times New Roman"/>
          <w:sz w:val="24"/>
        </w:rPr>
        <w:t>ентралната банка ќе ѝ се додели водечка улога во развојот и спроведувањето на макропрудентните политики и политиките за финансиска стабилност. Регулативата за олеснување на продажбата на нефункционалните кредити беше донесена во март 2022 година. Подобрените инструменти за справување со нефункционалните кредити се од витално значење, бидејќи економијата сè уште може да се соочи со пораст на нефункционални кредити, по регулаторното нормализирање и обновените трошковни притисоци врз компаниите од зголемените увозни цени и војната во Украина. Исто така, во јули 2022 година, Народната банка донесе одлука за зголемување на противцикличниот капитал на 0,5 % од август 2023 година.</w:t>
      </w:r>
    </w:p>
    <w:p w14:paraId="07D96F3C" w14:textId="31F4154C"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Со цел да се подобри финансиската писменост, финансиските регулатори, предводени од Централната банка, ја донесоа првата национална Стратегија за финансиска едукација и финансиска </w:t>
      </w:r>
      <w:r>
        <w:rPr>
          <w:rFonts w:ascii="Times New Roman" w:hAnsi="Times New Roman" w:cs="Times New Roman"/>
          <w:sz w:val="24"/>
        </w:rPr>
        <w:t>инклузија</w:t>
      </w:r>
      <w:r w:rsidRPr="00C9671E">
        <w:rPr>
          <w:rFonts w:ascii="Times New Roman" w:hAnsi="Times New Roman" w:cs="Times New Roman"/>
          <w:sz w:val="24"/>
        </w:rPr>
        <w:t xml:space="preserve"> во 2021 година. Врз основа на ова, Централната банка донесе Кодекс на добри практики за финансиска едукација, утврдувајќи ги </w:t>
      </w:r>
      <w:r w:rsidRPr="00C9671E">
        <w:rPr>
          <w:rFonts w:ascii="Times New Roman" w:hAnsi="Times New Roman" w:cs="Times New Roman"/>
          <w:sz w:val="24"/>
        </w:rPr>
        <w:lastRenderedPageBreak/>
        <w:t>начелата што треба да ги почитуваат институциите што нудат програми за финансиска едукација.</w:t>
      </w:r>
    </w:p>
    <w:p w14:paraId="3B8D0F4A" w14:textId="77777777" w:rsidR="00A50BBD" w:rsidRPr="00C9671E" w:rsidRDefault="00A50BBD" w:rsidP="006E4EB0">
      <w:pPr>
        <w:spacing w:after="120" w:line="240" w:lineRule="auto"/>
        <w:jc w:val="both"/>
        <w:rPr>
          <w:rFonts w:ascii="Times New Roman" w:hAnsi="Times New Roman" w:cs="Times New Roman"/>
          <w:i/>
          <w:color w:val="000000"/>
          <w:sz w:val="24"/>
          <w:szCs w:val="24"/>
        </w:rPr>
      </w:pPr>
      <w:r w:rsidRPr="00C9671E">
        <w:rPr>
          <w:rFonts w:ascii="Times New Roman" w:hAnsi="Times New Roman" w:cs="Times New Roman"/>
          <w:i/>
          <w:color w:val="000000"/>
          <w:sz w:val="24"/>
        </w:rPr>
        <w:t>Пристап до финансии</w:t>
      </w:r>
    </w:p>
    <w:p w14:paraId="2D905018"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Банкарското кредитирање се забрза, но финансиското продлабочување напредува бавно. </w:t>
      </w:r>
      <w:r w:rsidRPr="00C9671E">
        <w:rPr>
          <w:rFonts w:ascii="Times New Roman" w:hAnsi="Times New Roman" w:cs="Times New Roman"/>
          <w:sz w:val="24"/>
        </w:rPr>
        <w:t xml:space="preserve">Активностите на Централната банка, како и поддршката за ликвидност од Владата го олеснија пристапот до финансии за компаниите од почетокот на пандемијата. Кредитниот раст на нефинансискиот приватен сектор се зголеми во 2021 година (+0,3 пп годишно на 6,2 % во просек) и дополнително се забрза во првите три месеци од 2022 година. Невообичаено, растот на кредитирањето на претпријатијата го надмина растот за домаќинствата. Кредитирањето во локална валута порасна побрзо од кредитите во странска валута. На 88,3 %, </w:t>
      </w:r>
      <w:r>
        <w:rPr>
          <w:rFonts w:ascii="Times New Roman" w:hAnsi="Times New Roman" w:cs="Times New Roman"/>
          <w:sz w:val="24"/>
        </w:rPr>
        <w:t>со</w:t>
      </w:r>
      <w:r w:rsidRPr="00C9671E">
        <w:rPr>
          <w:rFonts w:ascii="Times New Roman" w:hAnsi="Times New Roman" w:cs="Times New Roman"/>
          <w:sz w:val="24"/>
        </w:rPr>
        <w:t>односот на вкупните средства на банкарскиот сектор и БДП беше под нивото од една година претходно, но значително над нивото од крајот на 2016 година (74,8 %).</w:t>
      </w:r>
    </w:p>
    <w:p w14:paraId="145D63C4" w14:textId="77777777" w:rsidR="00A50BBD" w:rsidRPr="00C9671E" w:rsidRDefault="00A50BBD" w:rsidP="006E4EB0">
      <w:pPr>
        <w:spacing w:after="120" w:line="240" w:lineRule="auto"/>
        <w:jc w:val="both"/>
        <w:rPr>
          <w:rFonts w:ascii="Times New Roman" w:hAnsi="Times New Roman" w:cs="Times New Roman"/>
          <w:sz w:val="24"/>
          <w:u w:val="single"/>
        </w:rPr>
      </w:pPr>
      <w:r w:rsidRPr="00C9671E">
        <w:rPr>
          <w:rFonts w:ascii="Times New Roman" w:hAnsi="Times New Roman" w:cs="Times New Roman"/>
          <w:sz w:val="24"/>
          <w:u w:val="single"/>
        </w:rPr>
        <w:t>Функционирање на пазарот на труд</w:t>
      </w:r>
    </w:p>
    <w:p w14:paraId="5DC90EC6" w14:textId="77777777" w:rsidR="00A50BBD" w:rsidRPr="00C9671E" w:rsidRDefault="00A50BBD" w:rsidP="006E4EB0">
      <w:pPr>
        <w:spacing w:after="120" w:line="240" w:lineRule="auto"/>
        <w:jc w:val="both"/>
        <w:rPr>
          <w:rFonts w:ascii="Times New Roman" w:hAnsi="Times New Roman" w:cs="Times New Roman"/>
          <w:sz w:val="24"/>
        </w:rPr>
      </w:pPr>
      <w:r>
        <w:rPr>
          <w:rFonts w:ascii="Times New Roman" w:hAnsi="Times New Roman" w:cs="Times New Roman"/>
          <w:noProof/>
          <w:lang w:val="en-US" w:eastAsia="en-US" w:bidi="ar-SA"/>
        </w:rPr>
        <w:drawing>
          <wp:anchor distT="0" distB="0" distL="114300" distR="114300" simplePos="0" relativeHeight="251661312" behindDoc="0" locked="0" layoutInCell="1" allowOverlap="1" wp14:anchorId="798F72C6" wp14:editId="0F3319E2">
            <wp:simplePos x="0" y="0"/>
            <wp:positionH relativeFrom="column">
              <wp:posOffset>33655</wp:posOffset>
            </wp:positionH>
            <wp:positionV relativeFrom="paragraph">
              <wp:posOffset>704850</wp:posOffset>
            </wp:positionV>
            <wp:extent cx="2447925" cy="13525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r="76656" b="77049"/>
                    <a:stretch>
                      <a:fillRect/>
                    </a:stretch>
                  </pic:blipFill>
                  <pic:spPr bwMode="auto">
                    <a:xfrm>
                      <a:off x="0" y="0"/>
                      <a:ext cx="2447925" cy="1352550"/>
                    </a:xfrm>
                    <a:prstGeom prst="rect">
                      <a:avLst/>
                    </a:prstGeom>
                    <a:noFill/>
                  </pic:spPr>
                </pic:pic>
              </a:graphicData>
            </a:graphic>
          </wp:anchor>
        </w:drawing>
      </w:r>
      <w:r w:rsidRPr="00C9671E">
        <w:rPr>
          <w:rFonts w:ascii="Times New Roman" w:hAnsi="Times New Roman" w:cs="Times New Roman"/>
          <w:b/>
          <w:sz w:val="24"/>
        </w:rPr>
        <w:t xml:space="preserve">Мерките за закрепнување и владината поддршка го зајакнаа пазарот на трудот, но структурните проблеми остануваат. </w:t>
      </w:r>
      <w:r w:rsidRPr="00C9671E">
        <w:rPr>
          <w:rFonts w:ascii="Times New Roman" w:hAnsi="Times New Roman" w:cs="Times New Roman"/>
          <w:sz w:val="24"/>
        </w:rPr>
        <w:t>Субвенциите за платите и поддршката за ликвидност од Владата ја зајакнаа отпорноста на пазарот на труд како во 2021 година така и понатаму. Според податоците за вториот квартал од 2022 година од Анкетата за работна сила врз основа на резултатите од пописот на населението во 2021 година во првиот квартал од 2022 година, работната сила (15-64) се намалила за 14,2 % на годишно ниво (крајот на вториот квартал од 2022 година), додека стапката на активност пораснала за 0,9 пп во овој период, на 66,4 %, што значи голем пад на работоспособното население.</w:t>
      </w:r>
      <w:r w:rsidRPr="00C9671E">
        <w:rPr>
          <w:rFonts w:ascii="Times New Roman" w:hAnsi="Times New Roman" w:cs="Times New Roman"/>
          <w:sz w:val="24"/>
          <w:vertAlign w:val="superscript"/>
        </w:rPr>
        <w:footnoteReference w:id="18"/>
      </w:r>
      <w:r w:rsidRPr="00C9671E">
        <w:rPr>
          <w:rFonts w:ascii="Times New Roman" w:hAnsi="Times New Roman" w:cs="Times New Roman"/>
          <w:sz w:val="24"/>
        </w:rPr>
        <w:t xml:space="preserve"> Бројот на невработени се намали уште понагло од работната сила, намалувајќи ја стапката на невработеност на 14,7 % (-1,3 пп годишно). Стапките на учество на пазарот на труд се зголемија и за мажите и за жените. Сепак, родовиот јаз се зголеми втора година по ред, откако постојано се стеснуваше помеѓу 2014 и 2019 година, бидејќи стапката на учество кај мажите се зголеми уште повеќе за време на пандемијата отколку стапката на жените. Јазот се зголеми за 2,5 пп, на 25,8 пп (крајот на вториот квартал од 2022 година), споредено со истиот период една година претходно. Невработеноста кај младите останува висока, на 30,9 %, но постојано се намалува (-6,9 пп од година во година). Во споредба со првиот квартал од 2022 година, стапката на невработеност за возрасната група 15-24 години се намали за 3,9 пп, при што работната сила во оваа група е пониска за 7,9 %. Невработеноста кај младите значително се намали откако владината шема за гаранции за млади стапи на сила во 2018 година. Околу 80 % од невработените лица се долгорочно невработени, што главно ја одразува неусогласеноста на вештините. Со оглед на ограничените човечки и финансиски ресурси во агенциите за вработување, Владата се соочува со предизвикот за подобро таргетирање на ранливите невработени лица, со цел нивно учество во активните политики на пазарот на трудот. Уделот на неформални работници во вкупниот број </w:t>
      </w:r>
      <w:r w:rsidRPr="00C9671E">
        <w:rPr>
          <w:rFonts w:ascii="Times New Roman" w:hAnsi="Times New Roman" w:cs="Times New Roman"/>
          <w:sz w:val="24"/>
        </w:rPr>
        <w:lastRenderedPageBreak/>
        <w:t>вработени лица остана висок, на околу 14 % во 2019 година, според владините податоци, иако постојано опаѓа од 2015 година. Просечното даночно оптоварување е регресивно во Северна Македонија на дното на распределбата на доходот: затоа, просечната стапка на придонеси зазема многу поголем удел од вкупниот приход на лицата со ниски плати.</w:t>
      </w:r>
    </w:p>
    <w:p w14:paraId="0548A118" w14:textId="77777777" w:rsidR="00A50BBD" w:rsidRPr="00C9671E" w:rsidRDefault="00A50BBD" w:rsidP="006E4EB0">
      <w:pPr>
        <w:pStyle w:val="Heading3"/>
        <w:spacing w:before="0"/>
      </w:pPr>
      <w:bookmarkStart w:id="91" w:name="_Toc84329772"/>
      <w:bookmarkStart w:id="92" w:name="_Toc84631574"/>
      <w:bookmarkStart w:id="93" w:name="_Toc108092756"/>
      <w:bookmarkStart w:id="94" w:name="_Toc115619784"/>
      <w:bookmarkStart w:id="95" w:name="_Toc117004155"/>
      <w:r w:rsidRPr="00C9671E">
        <w:t xml:space="preserve">2.3.2. Капацитет за справување со конкурентскиот притисок и пазарните сили во </w:t>
      </w:r>
      <w:r>
        <w:t xml:space="preserve">рамки на </w:t>
      </w:r>
      <w:r w:rsidRPr="00C9671E">
        <w:t>Унијата</w:t>
      </w:r>
      <w:bookmarkEnd w:id="91"/>
      <w:bookmarkEnd w:id="92"/>
      <w:bookmarkEnd w:id="93"/>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A50BBD" w:rsidRPr="00C9671E" w14:paraId="3A949973" w14:textId="77777777" w:rsidTr="006E4EB0">
        <w:tc>
          <w:tcPr>
            <w:tcW w:w="9288" w:type="dxa"/>
            <w:shd w:val="clear" w:color="auto" w:fill="D9D9D9"/>
          </w:tcPr>
          <w:p w14:paraId="4E58BD0E"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Северна Македонија постигна </w:t>
            </w:r>
            <w:r w:rsidRPr="00C9671E">
              <w:rPr>
                <w:rFonts w:ascii="Times New Roman" w:hAnsi="Times New Roman" w:cs="Times New Roman"/>
                <w:b/>
                <w:sz w:val="24"/>
              </w:rPr>
              <w:t>одреден напредок</w:t>
            </w:r>
            <w:r w:rsidRPr="00C9671E">
              <w:rPr>
                <w:rFonts w:ascii="Times New Roman" w:hAnsi="Times New Roman" w:cs="Times New Roman"/>
                <w:sz w:val="24"/>
              </w:rPr>
              <w:t xml:space="preserve"> и е </w:t>
            </w:r>
            <w:r w:rsidRPr="00C9671E">
              <w:rPr>
                <w:rFonts w:ascii="Times New Roman" w:hAnsi="Times New Roman" w:cs="Times New Roman"/>
                <w:b/>
                <w:sz w:val="24"/>
              </w:rPr>
              <w:t>умерено подготвена</w:t>
            </w:r>
            <w:r w:rsidRPr="00C9671E">
              <w:rPr>
                <w:rFonts w:ascii="Times New Roman" w:hAnsi="Times New Roman" w:cs="Times New Roman"/>
                <w:sz w:val="24"/>
              </w:rPr>
              <w:t xml:space="preserve"> да се справи со конкурентскиот притисок и пазарните сили во Унијата. Интеграцијата со ЕУ во трговијата и инвестициите остана на високо ниво во 2021 година, и покрај целосното затворање и прекините на синџирите на снабдување во земјата и во земјите трговски партнери. Уделот на производите со висока вредност во извозот дополнително се зголеми. Постигнат е дополнителен напредок кон подобрување на стручното образование (СО), но големиот недостиг на вештини и понатаму е во однос на потребите на пазарот на трудот, што подразбира долг премин од училиште до работа. Овие, како и големите јазови во транспортната и енергетската инфраструктура, заедно со ниските инвестиции и трошоците за иновации, го ограничуваат потенцијалниот раст. Дигитализацијата на економијата напредува, но конкурентноста на домашните бизниси би можело да се подобри преку поширока понуда на јавни е-услуги.</w:t>
            </w:r>
          </w:p>
          <w:p w14:paraId="3D59A9CA"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rPr>
              <w:t xml:space="preserve">Бидејќи некои од препораките од 2021 година не се целосно спроведени, повеќето барања остануваат исти, а Северна Македонија треба особено: </w:t>
            </w:r>
          </w:p>
          <w:p w14:paraId="33D36CD8" w14:textId="77777777" w:rsidR="00A50BBD" w:rsidRPr="00C9671E" w:rsidRDefault="00A50BBD" w:rsidP="006E4EB0">
            <w:pPr>
              <w:numPr>
                <w:ilvl w:val="0"/>
                <w:numId w:val="65"/>
              </w:numPr>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rPr>
              <w:t>да ги зголеми финансиските и човечките ресурси за да се забрзаат реформите на системот за стручно образование и обука;</w:t>
            </w:r>
          </w:p>
          <w:p w14:paraId="510378BA" w14:textId="7BE1E065" w:rsidR="00A50BBD" w:rsidRPr="00C9671E" w:rsidRDefault="00A50BBD" w:rsidP="006E4EB0">
            <w:pPr>
              <w:numPr>
                <w:ilvl w:val="0"/>
                <w:numId w:val="65"/>
              </w:numPr>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rPr>
              <w:t xml:space="preserve">да го донесе и спроведе законодавството за енергетска ефикасност, вклучително и спроведување на законодавството </w:t>
            </w:r>
            <w:r>
              <w:rPr>
                <w:rFonts w:ascii="Times New Roman" w:hAnsi="Times New Roman" w:cs="Times New Roman"/>
                <w:sz w:val="24"/>
              </w:rPr>
              <w:t>од областа на</w:t>
            </w:r>
            <w:r w:rsidRPr="00C9671E">
              <w:rPr>
                <w:rFonts w:ascii="Times New Roman" w:hAnsi="Times New Roman" w:cs="Times New Roman"/>
                <w:sz w:val="24"/>
              </w:rPr>
              <w:t xml:space="preserve"> енергетска</w:t>
            </w:r>
            <w:r>
              <w:rPr>
                <w:rFonts w:ascii="Times New Roman" w:hAnsi="Times New Roman" w:cs="Times New Roman"/>
                <w:sz w:val="24"/>
              </w:rPr>
              <w:t>та</w:t>
            </w:r>
            <w:r w:rsidRPr="00C9671E">
              <w:rPr>
                <w:rFonts w:ascii="Times New Roman" w:hAnsi="Times New Roman" w:cs="Times New Roman"/>
                <w:sz w:val="24"/>
              </w:rPr>
              <w:t xml:space="preserve"> ефикасност и да ги подобри поврзаните човечки и технички капацитети;</w:t>
            </w:r>
          </w:p>
          <w:p w14:paraId="0D3B64BF" w14:textId="77777777" w:rsidR="00A50BBD" w:rsidRPr="00C9671E" w:rsidRDefault="00A50BBD" w:rsidP="006E4EB0">
            <w:pPr>
              <w:numPr>
                <w:ilvl w:val="0"/>
                <w:numId w:val="65"/>
              </w:numPr>
              <w:spacing w:after="120" w:line="240" w:lineRule="auto"/>
              <w:ind w:left="426" w:hanging="426"/>
              <w:rPr>
                <w:rFonts w:ascii="Times New Roman" w:hAnsi="Times New Roman" w:cs="Times New Roman"/>
                <w:sz w:val="24"/>
                <w:szCs w:val="24"/>
              </w:rPr>
            </w:pPr>
            <w:r w:rsidRPr="00C9671E">
              <w:rPr>
                <w:rFonts w:ascii="Times New Roman" w:hAnsi="Times New Roman" w:cs="Times New Roman"/>
                <w:sz w:val="24"/>
              </w:rPr>
              <w:t>да формира фонд за енергетска ефикасност.</w:t>
            </w:r>
          </w:p>
        </w:tc>
      </w:tr>
    </w:tbl>
    <w:bookmarkEnd w:id="83"/>
    <w:bookmarkEnd w:id="84"/>
    <w:bookmarkEnd w:id="85"/>
    <w:bookmarkEnd w:id="86"/>
    <w:bookmarkEnd w:id="87"/>
    <w:bookmarkEnd w:id="88"/>
    <w:bookmarkEnd w:id="89"/>
    <w:bookmarkEnd w:id="90"/>
    <w:p w14:paraId="71CFB51B" w14:textId="77777777"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sz w:val="24"/>
          <w:u w:val="single"/>
        </w:rPr>
        <w:t>Образование и иновации</w:t>
      </w:r>
    </w:p>
    <w:p w14:paraId="4863AEF7"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Напредокот во реформата на наставните програми и намалувањето на неусогласеноста на вештините со работните места е попречен поради недоволно финансирање и капацитет. </w:t>
      </w:r>
      <w:r w:rsidRPr="00C9671E">
        <w:rPr>
          <w:rFonts w:ascii="Times New Roman" w:hAnsi="Times New Roman" w:cs="Times New Roman"/>
          <w:sz w:val="24"/>
        </w:rPr>
        <w:t xml:space="preserve">Иако Северна Македонија напредуваше многу добро во однос на бројот на лица со високо образование, наставните програми не се добро приспособени за оспособување на дипломираните студенти со потребните вештини за да одговорат на побарувачката за работна сила. Државната финансиска поддршка за образованието е недоволна, а координацијата помеѓу образовниот сектор и деловните субјекти е слаба. Во 2020 година, јавните расходи за образование и обука изнесуваа 3,3 % од БДП, во споредба со просечните 3,7 % од БДП во изминатите пет години. Тоа е многу под просекот на ЕУ (5 %) и, исто така, под просекот на партнерските земји. Тоа го спречува соодветното спроведување на Стратегијата за образование 2018 </w:t>
      </w:r>
      <w:r w:rsidRPr="00C9671E">
        <w:rPr>
          <w:rFonts w:ascii="Times New Roman" w:hAnsi="Times New Roman" w:cs="Times New Roman"/>
          <w:i/>
          <w:iCs/>
          <w:sz w:val="24"/>
        </w:rPr>
        <w:t xml:space="preserve">– </w:t>
      </w:r>
      <w:r w:rsidRPr="00C9671E">
        <w:rPr>
          <w:rFonts w:ascii="Times New Roman" w:hAnsi="Times New Roman" w:cs="Times New Roman"/>
          <w:sz w:val="24"/>
        </w:rPr>
        <w:t>2025. Понатаму, трошењето е во голема мера неефикасно, главно поради застарените формули за прераспределба на јавните средства за образование од општините. Имаше значителни подобрувања во рангирањето на ПИСА од 2018 година во споредба со 2015 година, но земјата сѐ уште е рангирана во најнискиот квартал. Наставните програми за стручно образование се во фаза на ревизија од 2019 година за да се приспособат на потребите на пазарот на трудот. Сепак, модернизацијата</w:t>
      </w:r>
      <w:r w:rsidRPr="00C9671E">
        <w:rPr>
          <w:rFonts w:ascii="Times New Roman" w:hAnsi="Times New Roman" w:cs="Times New Roman"/>
          <w:spacing w:val="-3"/>
          <w:sz w:val="24"/>
        </w:rPr>
        <w:t xml:space="preserve"> на трите центра за стручна обука во земјата е попречена поради бавното донесување на потребното законодавство од Собранието. </w:t>
      </w:r>
      <w:r w:rsidRPr="00C9671E">
        <w:rPr>
          <w:rFonts w:ascii="Times New Roman" w:hAnsi="Times New Roman" w:cs="Times New Roman"/>
          <w:sz w:val="24"/>
        </w:rPr>
        <w:t xml:space="preserve">Иновациската дејност останува главно ниска. Со 0,4 % од БДП, </w:t>
      </w:r>
      <w:r w:rsidRPr="00C9671E">
        <w:rPr>
          <w:rFonts w:ascii="Times New Roman" w:hAnsi="Times New Roman" w:cs="Times New Roman"/>
          <w:sz w:val="24"/>
        </w:rPr>
        <w:lastRenderedPageBreak/>
        <w:t>вклучувајќи мал процент од приватниот сектор, расходите на стопанството за истражување и иновации не се зголемени во последните години и остануваат значително под просекот на ЕУ. Земјата останува нов иноватор, според мерилата на ЕУ за иновации.</w:t>
      </w:r>
    </w:p>
    <w:p w14:paraId="333C11C6" w14:textId="77777777"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sz w:val="24"/>
          <w:u w:val="single"/>
        </w:rPr>
        <w:t>Физички капитал и квалитет на инфраструктурата</w:t>
      </w:r>
    </w:p>
    <w:p w14:paraId="22829CD1" w14:textId="4AEBE532"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Инвестициските трошоци остануваат ниски со оглед на големите потреби од зголемување на физичкиот капитал. </w:t>
      </w:r>
      <w:r w:rsidRPr="00C9671E">
        <w:rPr>
          <w:rFonts w:ascii="Times New Roman" w:hAnsi="Times New Roman" w:cs="Times New Roman"/>
          <w:sz w:val="24"/>
        </w:rPr>
        <w:t xml:space="preserve">Формирањето бруто-капитал (ФБК) како </w:t>
      </w:r>
      <w:r>
        <w:rPr>
          <w:rFonts w:ascii="Times New Roman" w:hAnsi="Times New Roman" w:cs="Times New Roman"/>
          <w:sz w:val="24"/>
        </w:rPr>
        <w:t>удел во</w:t>
      </w:r>
      <w:r w:rsidRPr="00C9671E">
        <w:rPr>
          <w:rFonts w:ascii="Times New Roman" w:hAnsi="Times New Roman" w:cs="Times New Roman"/>
          <w:sz w:val="24"/>
        </w:rPr>
        <w:t xml:space="preserve"> БДП се зголеми на 33,8 % во 2021 година, од 29,6 % во 2020 година. Уделот на формирањето бруто-фиксен капитал (ФБФК) во БДП достигна 76 % во 2020 година, или 22 % од БДП (споредено со 24 % во 2015 година). Уделот на инвестиции во градежништвото се зголемува во последните години и сочинуваше околу 29,5 % од ФБФК во 2020 година, по што следува индустријата (22 %). Трговијата, превозот, храната и услугите учествуваа со 17 % од ФБФК. Во однос на сопственоста, инвестициите во јавниот сектор сочинуваат околу 22 % од вкупниот износ на ФБФК, главно на сметка на изградбата на патишта преку Јавното претпријатие за државни патишта. </w:t>
      </w:r>
      <w:r>
        <w:rPr>
          <w:rFonts w:ascii="Times New Roman" w:hAnsi="Times New Roman" w:cs="Times New Roman"/>
          <w:sz w:val="24"/>
        </w:rPr>
        <w:t>Соочени со</w:t>
      </w:r>
      <w:r w:rsidRPr="00C9671E">
        <w:rPr>
          <w:rFonts w:ascii="Times New Roman" w:hAnsi="Times New Roman" w:cs="Times New Roman"/>
          <w:sz w:val="24"/>
        </w:rPr>
        <w:t xml:space="preserve"> тековната енергетска криза, како и долготрајните работи на одредени големи патни и железнички проекти, потребата од модернизација на инфраструктурниот капитал во земјата, особено на сообраќајните и енергетските мрежи, се чини сè понеопходна. </w:t>
      </w:r>
    </w:p>
    <w:p w14:paraId="07C6C722"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Регионалната сообраќајна поврзаност напредува бавно. </w:t>
      </w:r>
      <w:r w:rsidRPr="00C9671E">
        <w:rPr>
          <w:rFonts w:ascii="Times New Roman" w:hAnsi="Times New Roman" w:cs="Times New Roman"/>
          <w:sz w:val="24"/>
        </w:rPr>
        <w:t>Постигнат е одреден напредок во надградбата на главната патна мрежа на ниво на автопати, но работите на Железничкиот коридор VIII кон Бугарија сѐ уште се во застој. Откако беше пропуштен вториот рок за завршување на изградбата на автопатот Кичево-Охрид во јуни 2021 година, рокот за завршување беше продолжен за уште две години. Работите на Патниот коридор X се одново започнати со нов изведувач. Изградбата на Источниот крај на Железничкиот коридор VIII кон Бугарија, која настрада поради раскинувањето на договорите во 2020 година поради недоволно напредок на терен и слаб капацитет за спроведување, сѐ уште се соочува со значајни проблеми и не е избран нов изведувач. Во однос на Железничкиот коридор X, заедничкиот договор со Грција за олеснување на постапките на железничките гранични премини сѐ уште е во тек. Постигнат е одреден напредок во однос на заедничката железничка гранична станица со Србија, а тендерската постапка ќе започне до крајот на 2022 година. Одржувањето и сервисирањето на регионалните и локалните патишта и железнички системи треба да се подобрат.</w:t>
      </w:r>
    </w:p>
    <w:p w14:paraId="6FD22895" w14:textId="4B27EFC9"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Дигитализацијата на </w:t>
      </w:r>
      <w:r>
        <w:rPr>
          <w:rFonts w:ascii="Times New Roman" w:hAnsi="Times New Roman" w:cs="Times New Roman"/>
          <w:b/>
          <w:sz w:val="24"/>
        </w:rPr>
        <w:t>економијата</w:t>
      </w:r>
      <w:r w:rsidRPr="00C9671E">
        <w:rPr>
          <w:rFonts w:ascii="Times New Roman" w:hAnsi="Times New Roman" w:cs="Times New Roman"/>
          <w:b/>
          <w:sz w:val="24"/>
        </w:rPr>
        <w:t xml:space="preserve"> напредува, но останува ниска во споредба со ЕУ. Помеѓу 2015 и 2020 година, </w:t>
      </w:r>
      <w:r w:rsidRPr="00705B41">
        <w:rPr>
          <w:rFonts w:ascii="Times New Roman" w:hAnsi="Times New Roman" w:cs="Times New Roman"/>
          <w:sz w:val="24"/>
        </w:rPr>
        <w:t>п</w:t>
      </w:r>
      <w:r w:rsidRPr="009F3AB1">
        <w:rPr>
          <w:rFonts w:ascii="Times New Roman" w:hAnsi="Times New Roman" w:cs="Times New Roman"/>
          <w:sz w:val="24"/>
        </w:rPr>
        <w:t>р</w:t>
      </w:r>
      <w:r w:rsidRPr="00C9671E">
        <w:rPr>
          <w:rFonts w:ascii="Times New Roman" w:hAnsi="Times New Roman" w:cs="Times New Roman"/>
          <w:sz w:val="24"/>
        </w:rPr>
        <w:t>оцентот на домаќинства со интернет-пристап дома се зголеми за 10 процентни поени, на 79 %. Фиксен широкопојасен интернет користат 88 % од корисниците домаќинства и 92 % од претпријатијата со десет или повеќе вработени, но помалите компании сѐ уште се соочуваат со препреки. Од вкупниот број претпријатија, 54,5 % имаат веб-страница/почетна страница. Генерално, постои особена потреба да се зголеми пристапот до широкопојасен интернет; да се прошират достапните услуги за е-влада; и да се развиваат дигиталните вештини.</w:t>
      </w:r>
    </w:p>
    <w:p w14:paraId="6C6BD609" w14:textId="5626E183"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Потребите од диверзификација на енергијата растат додека мерките за подобрување на енергетската ефикасност заостануваат. </w:t>
      </w:r>
      <w:r w:rsidRPr="00C9671E">
        <w:rPr>
          <w:rFonts w:ascii="Times New Roman" w:hAnsi="Times New Roman" w:cs="Times New Roman"/>
          <w:sz w:val="24"/>
        </w:rPr>
        <w:t xml:space="preserve">Економијата се карактеризира со висок енергетски интензитет со ниска ефикасност во производството и потрошувачката на енергија. Производството на електрична енергија во голема мера зависи од јаглен, а бидејќи домашните резерви на јаглен се намалуваат, од увоз. Владата планира да го зголеми процентот на извори на обновлива енергија на 35-45 % </w:t>
      </w:r>
      <w:r w:rsidRPr="00C9671E">
        <w:rPr>
          <w:rFonts w:ascii="Times New Roman" w:hAnsi="Times New Roman" w:cs="Times New Roman"/>
          <w:sz w:val="24"/>
        </w:rPr>
        <w:lastRenderedPageBreak/>
        <w:t>од потрошувачката на енергија до 2040 година. Дистрибуцијата на природен гас, како меѓучекор во процесот на декарбонизација, напредува, при што се прават напори за зголемување на преносната и дистрибутивната мрежа. Вкупната дистрибуирана количина во 2021 година беше околу 426 милиони m</w:t>
      </w:r>
      <w:r w:rsidRPr="00C9671E">
        <w:rPr>
          <w:rFonts w:ascii="Times New Roman" w:hAnsi="Times New Roman" w:cs="Times New Roman"/>
          <w:sz w:val="24"/>
          <w:vertAlign w:val="superscript"/>
        </w:rPr>
        <w:t>3</w:t>
      </w:r>
      <w:r w:rsidRPr="00C9671E">
        <w:rPr>
          <w:rFonts w:ascii="Times New Roman" w:hAnsi="Times New Roman" w:cs="Times New Roman"/>
          <w:sz w:val="24"/>
        </w:rPr>
        <w:t xml:space="preserve"> (+26,13 % споредено со 2020 година). Гасот сочинува околу 11 % од производството на електрична енергија, а 100 % од гасот во земјата се увезува од Русија преку единствена врска. Поврзувањето со регионалните гасоводи напредува бавно. Работите на гасната интерконекција со Грција сѐ уште не се започнати. Овој проект би поддржал диверзификација на изворите на природен гас и би го олеснил пристапот до транзитните цевководи. Понатамошното подобрување на енергетската ефикасност, вклучувајќи во станбени и јавни згради, е важно за намалувањето на зависноста на земјата од увоз на енергија и за намалување на фискалните субвенции за енергија. Сепак, делумно поради ограничените технички капацитети, Владата сè уште не напредувала со донесувањето на потребните подзаконски акти за спроведување на Законот за енергетска ефикасност 2020. Не е донесена ниту законската и регулаторната рамка за воспоставување на Фондот за енергетска ефикасност. Владата обезбедува низа финансиски иницијативи за поддршка на приватниот сектор во неговите напори за озеленување, вклучувајќи го неодамна донесениот План за забрзан </w:t>
      </w:r>
      <w:r>
        <w:rPr>
          <w:rFonts w:ascii="Times New Roman" w:hAnsi="Times New Roman" w:cs="Times New Roman"/>
          <w:sz w:val="24"/>
        </w:rPr>
        <w:t xml:space="preserve">економски </w:t>
      </w:r>
      <w:r w:rsidRPr="00C9671E">
        <w:rPr>
          <w:rFonts w:ascii="Times New Roman" w:hAnsi="Times New Roman" w:cs="Times New Roman"/>
          <w:sz w:val="24"/>
        </w:rPr>
        <w:t>ра</w:t>
      </w:r>
      <w:r>
        <w:rPr>
          <w:rFonts w:ascii="Times New Roman" w:hAnsi="Times New Roman" w:cs="Times New Roman"/>
          <w:sz w:val="24"/>
        </w:rPr>
        <w:t>ст</w:t>
      </w:r>
      <w:r w:rsidRPr="00C9671E">
        <w:rPr>
          <w:rFonts w:ascii="Times New Roman" w:hAnsi="Times New Roman" w:cs="Times New Roman"/>
          <w:sz w:val="24"/>
        </w:rPr>
        <w:t xml:space="preserve"> (2022 </w:t>
      </w:r>
      <w:r w:rsidRPr="00C9671E">
        <w:rPr>
          <w:rFonts w:ascii="Times New Roman" w:hAnsi="Times New Roman" w:cs="Times New Roman"/>
          <w:i/>
          <w:iCs/>
          <w:sz w:val="24"/>
        </w:rPr>
        <w:t xml:space="preserve">– </w:t>
      </w:r>
      <w:r w:rsidRPr="00C9671E">
        <w:rPr>
          <w:rFonts w:ascii="Times New Roman" w:hAnsi="Times New Roman" w:cs="Times New Roman"/>
          <w:sz w:val="24"/>
        </w:rPr>
        <w:t>2026</w:t>
      </w:r>
      <w:r>
        <w:rPr>
          <w:rFonts w:ascii="Times New Roman" w:hAnsi="Times New Roman" w:cs="Times New Roman"/>
          <w:sz w:val="24"/>
        </w:rPr>
        <w:t xml:space="preserve"> година</w:t>
      </w:r>
      <w:r w:rsidRPr="00C9671E">
        <w:rPr>
          <w:rFonts w:ascii="Times New Roman" w:hAnsi="Times New Roman" w:cs="Times New Roman"/>
          <w:sz w:val="24"/>
        </w:rPr>
        <w:t>), кој предвидува два фонда за финансирање зелени економски проекти.</w:t>
      </w:r>
    </w:p>
    <w:p w14:paraId="7FFF057C" w14:textId="77777777"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sz w:val="24"/>
          <w:u w:val="single"/>
        </w:rPr>
        <w:t>Секторска структура и структура на претпријатија</w:t>
      </w:r>
    </w:p>
    <w:p w14:paraId="75826DBD" w14:textId="63ADA17F"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Структурата на економските резултати дополнително се видоизмени со пандемијата. </w:t>
      </w:r>
      <w:r w:rsidRPr="00C9671E">
        <w:rPr>
          <w:rFonts w:ascii="Times New Roman" w:hAnsi="Times New Roman" w:cs="Times New Roman"/>
          <w:sz w:val="24"/>
        </w:rPr>
        <w:t xml:space="preserve">Дури и во минатите две години, во кои економската активност беше соочена со проблеми од ограничувањата поврзани со пандемијата, секторската </w:t>
      </w:r>
      <w:r>
        <w:rPr>
          <w:rFonts w:ascii="Times New Roman" w:hAnsi="Times New Roman" w:cs="Times New Roman"/>
          <w:sz w:val="24"/>
        </w:rPr>
        <w:t xml:space="preserve">и деловната </w:t>
      </w:r>
      <w:r w:rsidRPr="00C9671E">
        <w:rPr>
          <w:rFonts w:ascii="Times New Roman" w:hAnsi="Times New Roman" w:cs="Times New Roman"/>
          <w:sz w:val="24"/>
        </w:rPr>
        <w:t xml:space="preserve">структура ја продолжија својата постепена трансформација кон поголем удел на услуги, вклучувајќи трговија, во додадена вредност и во вработување. Структурата на резултатите, исто така, сè повеќе ја одредуваат услужните индустрии, кои заедно сочинуваат околу 66 % од вкупната додадена вредност во 2021 година (споредено со 60,4 % во 2016 година и 64 % во 2020 година). Уделот на производството малку се намали споредено со претходната година откако значително се зголеми во претходните години. Тој изнесуваше 14,8 % од додадената вредност во 2021 година (0,3 </w:t>
      </w:r>
      <w:r>
        <w:rPr>
          <w:rFonts w:ascii="Times New Roman" w:hAnsi="Times New Roman" w:cs="Times New Roman"/>
          <w:sz w:val="24"/>
        </w:rPr>
        <w:t>пп</w:t>
      </w:r>
      <w:r w:rsidRPr="00C9671E">
        <w:rPr>
          <w:rFonts w:ascii="Times New Roman" w:hAnsi="Times New Roman" w:cs="Times New Roman"/>
          <w:sz w:val="24"/>
        </w:rPr>
        <w:t xml:space="preserve"> на годишно ниво). И градежништвото главно малку се зголеми (5,8 % од додадената вредност, во споредба со 6,2 % во 2020 година и просек од 7,2 % во периодот 2016 </w:t>
      </w:r>
      <w:r w:rsidRPr="00C9671E">
        <w:rPr>
          <w:rFonts w:ascii="Times New Roman" w:hAnsi="Times New Roman" w:cs="Times New Roman"/>
          <w:i/>
          <w:iCs/>
          <w:sz w:val="24"/>
        </w:rPr>
        <w:t xml:space="preserve">– </w:t>
      </w:r>
      <w:r w:rsidRPr="00C9671E">
        <w:rPr>
          <w:rFonts w:ascii="Times New Roman" w:hAnsi="Times New Roman" w:cs="Times New Roman"/>
          <w:sz w:val="24"/>
        </w:rPr>
        <w:t xml:space="preserve">2020 година), отсликувајќи ја слабата динамика на инвестиции за време на пандемијата. Уделот на земјоделството дополнително се намали во 2021 година, на 9 % (-0,8 </w:t>
      </w:r>
      <w:r>
        <w:rPr>
          <w:rFonts w:ascii="Times New Roman" w:hAnsi="Times New Roman" w:cs="Times New Roman"/>
          <w:sz w:val="24"/>
        </w:rPr>
        <w:t>пп</w:t>
      </w:r>
      <w:r w:rsidRPr="00C9671E">
        <w:rPr>
          <w:rFonts w:ascii="Times New Roman" w:hAnsi="Times New Roman" w:cs="Times New Roman"/>
          <w:sz w:val="24"/>
        </w:rPr>
        <w:t>).</w:t>
      </w:r>
    </w:p>
    <w:p w14:paraId="27B8EA11" w14:textId="0D476C05"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t xml:space="preserve">Вработувањето во услужните дејности остана стабилно и покрај затворањата. </w:t>
      </w:r>
      <w:r w:rsidRPr="00C9671E">
        <w:rPr>
          <w:rFonts w:ascii="Times New Roman" w:hAnsi="Times New Roman" w:cs="Times New Roman"/>
          <w:sz w:val="24"/>
        </w:rPr>
        <w:t>Иако услужните дејности беа силно погодени од мерките за спречување на ширењето на пандемијата, тие сочинуваат повеќе од половина од вкупните вработувања во 2021 година (57,6 %), што е големо зголемување споредено со 5 години претходно (2016: 52,3 %), и повисоко од 2020 година (57 %), кога правилата за затворање беа уште построги. И покрај слабите резултати на производствениот сектор во 2021 година, неговиот удел во вкупното вработување остана речиси непроменет од претходната година, можеби поради владините шеми за поддршка, како што се субвенциите за плати и скратеното работно време. Тој е значително над неговото ниво од пред пет години (19 %). Земјоделскиот сектор постепено станува помалку значаен во вкупното вработување. Неговиот удел во вкупното вработување дополнително се намали во 2021 година (11,5 %, намалено од 12 % во 2020 година и 16,6 % во 2016 година). Генерално, веројатно е дека финансиската поддршка од антикризните мерки на Владата, кои приор</w:t>
      </w:r>
      <w:r w:rsidR="00FF030B">
        <w:rPr>
          <w:rFonts w:ascii="Times New Roman" w:hAnsi="Times New Roman" w:cs="Times New Roman"/>
          <w:sz w:val="24"/>
        </w:rPr>
        <w:t>и</w:t>
      </w:r>
      <w:r w:rsidRPr="00C9671E">
        <w:rPr>
          <w:rFonts w:ascii="Times New Roman" w:hAnsi="Times New Roman" w:cs="Times New Roman"/>
          <w:sz w:val="24"/>
        </w:rPr>
        <w:t>тизираа одредени економски сектори, имаше одредено влијание врз трендовите на вработување во секторите во текот на претходните 2 години.</w:t>
      </w:r>
    </w:p>
    <w:p w14:paraId="7BF85222" w14:textId="48B06995"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rPr>
        <w:lastRenderedPageBreak/>
        <w:t>Бројот на деловни субјекти повторно се зголеми во 2021 година, по големиот пад во 2020 година.</w:t>
      </w:r>
      <w:r w:rsidRPr="00C9671E">
        <w:rPr>
          <w:rFonts w:ascii="Times New Roman" w:hAnsi="Times New Roman" w:cs="Times New Roman"/>
          <w:sz w:val="24"/>
        </w:rPr>
        <w:t xml:space="preserve"> </w:t>
      </w:r>
      <w:r w:rsidRPr="00A770F6">
        <w:rPr>
          <w:rFonts w:ascii="Times New Roman" w:hAnsi="Times New Roman" w:cs="Times New Roman"/>
          <w:sz w:val="24"/>
        </w:rPr>
        <w:t>Бројот на вкупните компании во деловното работење</w:t>
      </w:r>
      <w:r w:rsidRPr="00C9671E">
        <w:rPr>
          <w:rFonts w:ascii="Times New Roman" w:hAnsi="Times New Roman" w:cs="Times New Roman"/>
          <w:sz w:val="24"/>
        </w:rPr>
        <w:t xml:space="preserve"> дополнително малку се намали во 2021 година, на сметка на понатамошниот пад кај микро</w:t>
      </w:r>
      <w:r>
        <w:rPr>
          <w:rFonts w:ascii="Times New Roman" w:hAnsi="Times New Roman" w:cs="Times New Roman"/>
          <w:sz w:val="24"/>
        </w:rPr>
        <w:t xml:space="preserve">компаниите </w:t>
      </w:r>
      <w:r w:rsidRPr="00C9671E">
        <w:rPr>
          <w:rFonts w:ascii="Times New Roman" w:hAnsi="Times New Roman" w:cs="Times New Roman"/>
          <w:sz w:val="24"/>
        </w:rPr>
        <w:t xml:space="preserve">(1-9 вработени). Од друга страна, бројот на мали и средни претпријатија повторно се зголеми (+1,4 % на годишно ниво) по падот предизвикан од пандемијата во 2020 година. Генерално, уделот на мали и средни претпријатија и микропретпријатија во вкупниот број претпријатија се зголеми за 0,2 </w:t>
      </w:r>
      <w:r>
        <w:rPr>
          <w:rFonts w:ascii="Times New Roman" w:hAnsi="Times New Roman" w:cs="Times New Roman"/>
          <w:sz w:val="24"/>
        </w:rPr>
        <w:t>пп</w:t>
      </w:r>
      <w:r w:rsidRPr="00C9671E">
        <w:rPr>
          <w:rFonts w:ascii="Times New Roman" w:hAnsi="Times New Roman" w:cs="Times New Roman"/>
          <w:sz w:val="24"/>
        </w:rPr>
        <w:t xml:space="preserve"> во 2021 година, на 99,8 %, што е просекот во последните пет години. Микро и малите деловни субјекти сочинуваат 97,8 % од вкупниот број (+0,1 процентен поен), што е генерално стабилно споредено со нивото пред КОВИД-19.</w:t>
      </w:r>
    </w:p>
    <w:p w14:paraId="0073D8E4" w14:textId="77777777" w:rsidR="00A50BBD" w:rsidRPr="00C9671E" w:rsidRDefault="00A50BBD" w:rsidP="006E4EB0">
      <w:pPr>
        <w:spacing w:after="120" w:line="240" w:lineRule="auto"/>
        <w:jc w:val="both"/>
        <w:rPr>
          <w:rFonts w:ascii="Times New Roman" w:hAnsi="Times New Roman" w:cs="Times New Roman"/>
          <w:u w:val="single"/>
        </w:rPr>
      </w:pPr>
      <w:r w:rsidRPr="00C9671E">
        <w:rPr>
          <w:rFonts w:ascii="Times New Roman" w:hAnsi="Times New Roman" w:cs="Times New Roman"/>
          <w:sz w:val="24"/>
          <w:u w:val="single"/>
        </w:rPr>
        <w:t>Економска интеграција со ЕУ и конкурентност на цените</w:t>
      </w:r>
    </w:p>
    <w:p w14:paraId="77546416" w14:textId="77777777" w:rsidR="00A50BBD" w:rsidRPr="00C9671E" w:rsidRDefault="00A50BBD" w:rsidP="006E4EB0">
      <w:pPr>
        <w:spacing w:after="120" w:line="240" w:lineRule="auto"/>
        <w:jc w:val="both"/>
        <w:rPr>
          <w:rFonts w:ascii="Times New Roman" w:hAnsi="Times New Roman" w:cs="Times New Roman"/>
          <w:sz w:val="24"/>
        </w:rPr>
      </w:pPr>
      <w:r>
        <w:rPr>
          <w:rFonts w:ascii="Times New Roman" w:hAnsi="Times New Roman" w:cs="Times New Roman"/>
          <w:noProof/>
          <w:lang w:val="en-US" w:eastAsia="en-US" w:bidi="ar-SA"/>
        </w:rPr>
        <w:drawing>
          <wp:anchor distT="0" distB="0" distL="114300" distR="114300" simplePos="0" relativeHeight="251662336" behindDoc="0" locked="0" layoutInCell="1" allowOverlap="1" wp14:anchorId="3674A1A2" wp14:editId="336995F9">
            <wp:simplePos x="0" y="0"/>
            <wp:positionH relativeFrom="column">
              <wp:posOffset>2757805</wp:posOffset>
            </wp:positionH>
            <wp:positionV relativeFrom="paragraph">
              <wp:posOffset>1478915</wp:posOffset>
            </wp:positionV>
            <wp:extent cx="2619375" cy="17621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r="76077" b="71446"/>
                    <a:stretch>
                      <a:fillRect/>
                    </a:stretch>
                  </pic:blipFill>
                  <pic:spPr bwMode="auto">
                    <a:xfrm>
                      <a:off x="0" y="0"/>
                      <a:ext cx="2619375" cy="1762125"/>
                    </a:xfrm>
                    <a:prstGeom prst="rect">
                      <a:avLst/>
                    </a:prstGeom>
                    <a:noFill/>
                  </pic:spPr>
                </pic:pic>
              </a:graphicData>
            </a:graphic>
          </wp:anchor>
        </w:drawing>
      </w:r>
      <w:r w:rsidRPr="00C9671E">
        <w:rPr>
          <w:rFonts w:ascii="Times New Roman" w:hAnsi="Times New Roman" w:cs="Times New Roman"/>
          <w:b/>
          <w:sz w:val="24"/>
        </w:rPr>
        <w:t xml:space="preserve">Трговската отвореност остана релативно висока. </w:t>
      </w:r>
      <w:r w:rsidRPr="00C9671E">
        <w:rPr>
          <w:rFonts w:ascii="Times New Roman" w:hAnsi="Times New Roman" w:cs="Times New Roman"/>
          <w:sz w:val="24"/>
        </w:rPr>
        <w:t xml:space="preserve">Економијата постигна големо зголемување во трговската отвореност (извози и увози на стоки и услуги како удел во БДП), на 148 % од БДП во 2021 година, по падот во 2020 година (на 130 % од 138 % во 2019 година), кога обемот на трговијата се намали за повеќе од БДП. Уделот на производи со повисока додадена вредност во структурата на извозот дополнително се зголеми во 2021 година, вклучувајќи хемикалии (26,8 %) и машини и опрема за превоз (31,5 %), на сметка на традиционалниот извоз како </w:t>
      </w:r>
      <w:r>
        <w:rPr>
          <w:rFonts w:ascii="Times New Roman" w:hAnsi="Times New Roman" w:cs="Times New Roman"/>
          <w:sz w:val="24"/>
        </w:rPr>
        <w:t xml:space="preserve">што се </w:t>
      </w:r>
      <w:r w:rsidRPr="00C9671E">
        <w:rPr>
          <w:rFonts w:ascii="Times New Roman" w:hAnsi="Times New Roman" w:cs="Times New Roman"/>
          <w:sz w:val="24"/>
        </w:rPr>
        <w:t>железо и текстил (под 20 %).</w:t>
      </w:r>
    </w:p>
    <w:p w14:paraId="7B90A836" w14:textId="77777777" w:rsidR="00A50BBD" w:rsidRPr="00C9671E" w:rsidRDefault="00A50BBD" w:rsidP="006E4EB0">
      <w:pPr>
        <w:spacing w:after="120" w:line="240" w:lineRule="auto"/>
        <w:jc w:val="both"/>
        <w:rPr>
          <w:rFonts w:ascii="Times New Roman" w:hAnsi="Times New Roman" w:cs="Times New Roman"/>
          <w:sz w:val="24"/>
          <w:szCs w:val="24"/>
        </w:rPr>
      </w:pPr>
      <w:r>
        <w:rPr>
          <w:rFonts w:ascii="Times New Roman" w:hAnsi="Times New Roman" w:cs="Times New Roman"/>
          <w:noProof/>
          <w:lang w:val="en-US" w:eastAsia="en-US" w:bidi="ar-SA"/>
        </w:rPr>
        <w:drawing>
          <wp:anchor distT="0" distB="0" distL="114300" distR="114300" simplePos="0" relativeHeight="251663360" behindDoc="0" locked="0" layoutInCell="1" allowOverlap="1" wp14:anchorId="74AB4E4A" wp14:editId="6AE76F1B">
            <wp:simplePos x="0" y="0"/>
            <wp:positionH relativeFrom="column">
              <wp:posOffset>-52070</wp:posOffset>
            </wp:positionH>
            <wp:positionV relativeFrom="paragraph">
              <wp:posOffset>147955</wp:posOffset>
            </wp:positionV>
            <wp:extent cx="2571750" cy="1790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r="76163" b="70844"/>
                    <a:stretch>
                      <a:fillRect/>
                    </a:stretch>
                  </pic:blipFill>
                  <pic:spPr bwMode="auto">
                    <a:xfrm>
                      <a:off x="0" y="0"/>
                      <a:ext cx="2571750" cy="1790700"/>
                    </a:xfrm>
                    <a:prstGeom prst="rect">
                      <a:avLst/>
                    </a:prstGeom>
                    <a:noFill/>
                  </pic:spPr>
                </pic:pic>
              </a:graphicData>
            </a:graphic>
          </wp:anchor>
        </w:drawing>
      </w:r>
    </w:p>
    <w:p w14:paraId="77920D89" w14:textId="77777777" w:rsidR="00A50BBD" w:rsidRPr="00C9671E" w:rsidRDefault="00A50BBD" w:rsidP="006E4EB0">
      <w:pPr>
        <w:spacing w:after="120" w:line="240" w:lineRule="auto"/>
        <w:jc w:val="both"/>
        <w:rPr>
          <w:rFonts w:ascii="Times New Roman" w:hAnsi="Times New Roman" w:cs="Times New Roman"/>
          <w:sz w:val="24"/>
          <w:szCs w:val="24"/>
        </w:rPr>
      </w:pPr>
    </w:p>
    <w:p w14:paraId="391E2C98" w14:textId="77777777" w:rsidR="00A50BBD" w:rsidRPr="00C9671E" w:rsidRDefault="00A50BBD" w:rsidP="006E4EB0">
      <w:pPr>
        <w:spacing w:after="120" w:line="240" w:lineRule="auto"/>
        <w:jc w:val="both"/>
        <w:rPr>
          <w:rFonts w:ascii="Times New Roman" w:hAnsi="Times New Roman" w:cs="Times New Roman"/>
          <w:sz w:val="24"/>
          <w:szCs w:val="24"/>
        </w:rPr>
      </w:pPr>
    </w:p>
    <w:p w14:paraId="55A18561" w14:textId="77777777" w:rsidR="00A50BBD" w:rsidRPr="00C9671E" w:rsidRDefault="00A50BBD" w:rsidP="006E4EB0">
      <w:pPr>
        <w:spacing w:after="120" w:line="240" w:lineRule="auto"/>
        <w:jc w:val="both"/>
        <w:rPr>
          <w:rFonts w:ascii="Times New Roman" w:hAnsi="Times New Roman" w:cs="Times New Roman"/>
          <w:sz w:val="24"/>
          <w:szCs w:val="24"/>
        </w:rPr>
      </w:pPr>
    </w:p>
    <w:p w14:paraId="3086C2FD" w14:textId="77777777" w:rsidR="00A50BBD" w:rsidRPr="00C9671E" w:rsidRDefault="00A50BBD" w:rsidP="006E4EB0">
      <w:pPr>
        <w:spacing w:after="120" w:line="240" w:lineRule="auto"/>
        <w:jc w:val="both"/>
        <w:rPr>
          <w:rFonts w:ascii="Times New Roman" w:hAnsi="Times New Roman" w:cs="Times New Roman"/>
          <w:sz w:val="24"/>
          <w:szCs w:val="24"/>
        </w:rPr>
      </w:pPr>
    </w:p>
    <w:p w14:paraId="3CF33B34" w14:textId="77777777" w:rsidR="00A50BBD" w:rsidRPr="00C9671E" w:rsidRDefault="00A50BBD" w:rsidP="006E4EB0">
      <w:pPr>
        <w:spacing w:after="120" w:line="240" w:lineRule="auto"/>
        <w:jc w:val="both"/>
        <w:rPr>
          <w:rFonts w:ascii="Times New Roman" w:hAnsi="Times New Roman" w:cs="Times New Roman"/>
          <w:sz w:val="24"/>
          <w:szCs w:val="24"/>
        </w:rPr>
      </w:pPr>
    </w:p>
    <w:p w14:paraId="5A3304D1" w14:textId="77777777" w:rsidR="00A50BBD" w:rsidRPr="00C9671E" w:rsidRDefault="00A50BBD" w:rsidP="006E4EB0">
      <w:pPr>
        <w:spacing w:after="120" w:line="240" w:lineRule="auto"/>
        <w:jc w:val="both"/>
        <w:rPr>
          <w:rFonts w:ascii="Times New Roman" w:hAnsi="Times New Roman" w:cs="Times New Roman"/>
          <w:sz w:val="24"/>
          <w:szCs w:val="24"/>
        </w:rPr>
      </w:pPr>
    </w:p>
    <w:p w14:paraId="724CB857" w14:textId="77777777" w:rsidR="00A50BBD" w:rsidRPr="00C9671E" w:rsidRDefault="00A50BBD" w:rsidP="006E4EB0">
      <w:pPr>
        <w:spacing w:after="120" w:line="240" w:lineRule="auto"/>
        <w:jc w:val="both"/>
        <w:rPr>
          <w:rFonts w:ascii="Times New Roman" w:hAnsi="Times New Roman" w:cs="Times New Roman"/>
          <w:sz w:val="24"/>
          <w:szCs w:val="24"/>
        </w:rPr>
      </w:pPr>
    </w:p>
    <w:p w14:paraId="0448C976" w14:textId="32CF4A81" w:rsidR="00A50BBD" w:rsidRPr="00C9671E" w:rsidRDefault="00A50BBD" w:rsidP="006E4EB0">
      <w:pPr>
        <w:spacing w:after="120" w:line="240" w:lineRule="auto"/>
        <w:jc w:val="both"/>
        <w:rPr>
          <w:rFonts w:ascii="Times New Roman" w:hAnsi="Times New Roman" w:cs="Times New Roman"/>
          <w:sz w:val="24"/>
        </w:rPr>
      </w:pPr>
      <w:r w:rsidRPr="00C9671E">
        <w:rPr>
          <w:rFonts w:ascii="Times New Roman" w:hAnsi="Times New Roman" w:cs="Times New Roman"/>
          <w:sz w:val="24"/>
        </w:rPr>
        <w:t xml:space="preserve">Главно отсликувајќи ја структурата на трговијата со производи, која беше погодена од пандемијата и прекинот во нејзиниот синџир на снабдување, извозот во земјите на ЦЕФТА се зголеми, како </w:t>
      </w:r>
      <w:r>
        <w:rPr>
          <w:rFonts w:ascii="Times New Roman" w:hAnsi="Times New Roman" w:cs="Times New Roman"/>
          <w:sz w:val="24"/>
        </w:rPr>
        <w:t>у</w:t>
      </w:r>
      <w:r w:rsidRPr="00C9671E">
        <w:rPr>
          <w:rFonts w:ascii="Times New Roman" w:hAnsi="Times New Roman" w:cs="Times New Roman"/>
          <w:sz w:val="24"/>
        </w:rPr>
        <w:t xml:space="preserve">дел </w:t>
      </w:r>
      <w:r>
        <w:rPr>
          <w:rFonts w:ascii="Times New Roman" w:hAnsi="Times New Roman" w:cs="Times New Roman"/>
          <w:sz w:val="24"/>
        </w:rPr>
        <w:t>во</w:t>
      </w:r>
      <w:r w:rsidRPr="00C9671E">
        <w:rPr>
          <w:rFonts w:ascii="Times New Roman" w:hAnsi="Times New Roman" w:cs="Times New Roman"/>
          <w:sz w:val="24"/>
        </w:rPr>
        <w:t xml:space="preserve"> вкупната бројка, додека оној во ЕУ остана ист. Во 2021 година, извозот во ЕУ сочинуваше 77,3 % во вкупниот извоз, што е само малку помалку од 2020 година, а делумно се должи на континуираната слабост на извозот за автомобилската индустрија, за кој економиите на ЕУ се најважна </w:t>
      </w:r>
      <w:r>
        <w:rPr>
          <w:rFonts w:ascii="Times New Roman" w:hAnsi="Times New Roman" w:cs="Times New Roman"/>
          <w:sz w:val="24"/>
        </w:rPr>
        <w:t xml:space="preserve">пазарна </w:t>
      </w:r>
      <w:r w:rsidRPr="00C9671E">
        <w:rPr>
          <w:rFonts w:ascii="Times New Roman" w:hAnsi="Times New Roman" w:cs="Times New Roman"/>
          <w:sz w:val="24"/>
        </w:rPr>
        <w:t>дестинација. Уделот на ЕУ во увозот, со 46,2 % од вкупниот увоз, беше речиси ист како и претходната година. Уделот на извозот во земјите на ЦЕФТА (11,8 % од вкупниот извоз) е помал за 0,8 пп додека уделот на увозот од земјите на ЦЕФТА остана речиси ист, на 9,5 % од вкупниот увоз во 2021 година. Земјите од ЕУ остануваат најважните инвеститори во Северна Македонија, сочинувајќи околу 56 % од вкупниот прилив на СДИ во 2021 година, но уделот на ЕУ-27 во вкупниот број директни инвестиции се намалува од 2015 година (66,1 %), и во 2020 година достигна 61,9 % (ЕУ-27). Загриженоста за надворешната конкурентност се зголеми со забрзаниот раст на платите, помогнат од неодамнешното покачување на минималната плата од 18,5 %, паралелно со надоместоците за субвенции за плати за работодавците и зголемувањето на платите во јавниот сектор. Реалниот ефективен девизен курс (врз основа на ИПЦ) остана главно стабилен и во 2021 година, малку зголемувајќи се во последниот квартал и намалувајќи се во пролетта 2022 година.</w:t>
      </w:r>
    </w:p>
    <w:p w14:paraId="77655E0C" w14:textId="77777777" w:rsidR="00A50BBD" w:rsidRPr="00C9671E" w:rsidRDefault="00A50BBD" w:rsidP="006E4EB0">
      <w:pPr>
        <w:pStyle w:val="Heading2"/>
      </w:pPr>
      <w:bookmarkStart w:id="96" w:name="_Toc84329773"/>
      <w:bookmarkStart w:id="97" w:name="_Toc84631575"/>
      <w:bookmarkStart w:id="98" w:name="_Toc115619785"/>
      <w:bookmarkStart w:id="99" w:name="_Toc117004156"/>
      <w:bookmarkStart w:id="100" w:name="_Toc9430354"/>
      <w:bookmarkStart w:id="101" w:name="_Toc51252777"/>
      <w:r w:rsidRPr="00C9671E">
        <w:lastRenderedPageBreak/>
        <w:t>2.4.</w:t>
      </w:r>
      <w:r w:rsidRPr="00C9671E">
        <w:tab/>
        <w:t>Јавни набавки, статистика; Финансиска контрола</w:t>
      </w:r>
      <w:bookmarkEnd w:id="96"/>
      <w:bookmarkEnd w:id="97"/>
      <w:bookmarkEnd w:id="98"/>
      <w:bookmarkEnd w:id="99"/>
      <w:r w:rsidRPr="00C9671E">
        <w:t xml:space="preserve"> </w:t>
      </w:r>
    </w:p>
    <w:p w14:paraId="06D5FCAE" w14:textId="77777777" w:rsidR="00A50BBD" w:rsidRPr="00C9671E" w:rsidRDefault="00A50BBD" w:rsidP="006E4EB0">
      <w:pPr>
        <w:pStyle w:val="Heading3"/>
        <w:spacing w:before="0"/>
      </w:pPr>
      <w:bookmarkStart w:id="102" w:name="_Toc84329774"/>
      <w:bookmarkStart w:id="103" w:name="_Toc84631576"/>
      <w:bookmarkStart w:id="104" w:name="_Toc115619786"/>
      <w:bookmarkStart w:id="105" w:name="_Toc117004157"/>
      <w:r w:rsidRPr="00C9671E">
        <w:t>Поглавје 5: Јавни набавки</w:t>
      </w:r>
      <w:bookmarkEnd w:id="102"/>
      <w:bookmarkEnd w:id="103"/>
      <w:bookmarkEnd w:id="104"/>
      <w:bookmarkEnd w:id="105"/>
    </w:p>
    <w:p w14:paraId="5A4B5EAD"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i/>
          <w:sz w:val="24"/>
          <w:szCs w:val="24"/>
        </w:rPr>
        <w:t>Правилата на ЕУ обезбедуваат јавните набавки на стоки, услуги и работи во која било земја членка да бидат транспарентни и отворени за сите компании од ЕУ врз основа на недискриминација и еднаков третман.</w:t>
      </w:r>
      <w:r w:rsidRPr="00C9671E">
        <w:rPr>
          <w:rFonts w:ascii="Times New Roman" w:hAnsi="Times New Roman" w:cs="Times New Roman"/>
          <w:sz w:val="24"/>
          <w:szCs w:val="24"/>
        </w:rPr>
        <w:t xml:space="preserve"> </w:t>
      </w:r>
    </w:p>
    <w:p w14:paraId="187BE6EC" w14:textId="5569F461"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е </w:t>
      </w:r>
      <w:r w:rsidRPr="00C9671E">
        <w:rPr>
          <w:rFonts w:ascii="Times New Roman" w:hAnsi="Times New Roman" w:cs="Times New Roman"/>
          <w:b/>
          <w:bCs/>
          <w:sz w:val="24"/>
          <w:szCs w:val="24"/>
        </w:rPr>
        <w:t>умерено подготвена</w:t>
      </w:r>
      <w:r w:rsidRPr="00C9671E">
        <w:rPr>
          <w:rFonts w:ascii="Times New Roman" w:hAnsi="Times New Roman" w:cs="Times New Roman"/>
          <w:sz w:val="24"/>
          <w:szCs w:val="24"/>
        </w:rPr>
        <w:t xml:space="preserve"> во областа на јавните набавки. Постигнат е </w:t>
      </w:r>
      <w:r w:rsidRPr="00C9671E">
        <w:rPr>
          <w:rFonts w:ascii="Times New Roman" w:hAnsi="Times New Roman" w:cs="Times New Roman"/>
          <w:b/>
          <w:bCs/>
          <w:sz w:val="24"/>
          <w:szCs w:val="24"/>
        </w:rPr>
        <w:t>ограничен</w:t>
      </w:r>
      <w:r w:rsidRPr="00C9671E">
        <w:rPr>
          <w:rFonts w:ascii="Times New Roman" w:hAnsi="Times New Roman" w:cs="Times New Roman"/>
          <w:sz w:val="24"/>
          <w:szCs w:val="24"/>
        </w:rPr>
        <w:t xml:space="preserve"> </w:t>
      </w:r>
      <w:r w:rsidRPr="00705B41">
        <w:rPr>
          <w:rFonts w:ascii="Times New Roman" w:hAnsi="Times New Roman" w:cs="Times New Roman"/>
          <w:b/>
          <w:sz w:val="24"/>
          <w:szCs w:val="24"/>
        </w:rPr>
        <w:t>напредок</w:t>
      </w:r>
      <w:r w:rsidRPr="00C9671E">
        <w:rPr>
          <w:rFonts w:ascii="Times New Roman" w:hAnsi="Times New Roman" w:cs="Times New Roman"/>
          <w:sz w:val="24"/>
          <w:szCs w:val="24"/>
        </w:rPr>
        <w:t xml:space="preserve"> со донесувањето на новата Стратегија за јавни набавки за 2022-2025 година и со започнувањето на новиот систем за е-пазар за набавки со мала вредност. Капацитетите на клучните институции, договорните органи и економските оператори треба дополнително да се зајакнат преку континуирана обука. Националните органи треба да применуваат поефикасни антикорупциски мерки во циклусот на набавки. Законот за стратегиско партнерство, кој беше донесен минатата година, за изградба на Коридорот VIII и на дел од Коридорот X предизвикува загриженост бидејќи го иззема овој проект од примената за Законот за јавни набавки.</w:t>
      </w:r>
    </w:p>
    <w:p w14:paraId="64569791"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Со оглед на тоа што препораките од извештајот за минатата година не се целосно спроведени, во наредната година земјата особено треба:</w:t>
      </w:r>
    </w:p>
    <w:p w14:paraId="6901797A" w14:textId="5AC43388" w:rsidR="00A50BBD" w:rsidRPr="00C9671E" w:rsidRDefault="00A50BBD" w:rsidP="006E4EB0">
      <w:pPr>
        <w:numPr>
          <w:ilvl w:val="0"/>
          <w:numId w:val="3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да донесе </w:t>
      </w:r>
      <w:r>
        <w:rPr>
          <w:rFonts w:ascii="Times New Roman" w:hAnsi="Times New Roman" w:cs="Times New Roman"/>
          <w:sz w:val="24"/>
          <w:szCs w:val="24"/>
        </w:rPr>
        <w:t>З</w:t>
      </w:r>
      <w:r w:rsidRPr="00C9671E">
        <w:rPr>
          <w:rFonts w:ascii="Times New Roman" w:hAnsi="Times New Roman" w:cs="Times New Roman"/>
          <w:sz w:val="24"/>
          <w:szCs w:val="24"/>
        </w:rPr>
        <w:t xml:space="preserve">акон за јавно-приватни партнерства (ЈПП) и </w:t>
      </w:r>
      <w:r>
        <w:rPr>
          <w:rFonts w:ascii="Times New Roman" w:hAnsi="Times New Roman" w:cs="Times New Roman"/>
          <w:sz w:val="24"/>
          <w:szCs w:val="24"/>
        </w:rPr>
        <w:t>З</w:t>
      </w:r>
      <w:r w:rsidRPr="00C9671E">
        <w:rPr>
          <w:rFonts w:ascii="Times New Roman" w:hAnsi="Times New Roman" w:cs="Times New Roman"/>
          <w:sz w:val="24"/>
          <w:szCs w:val="24"/>
        </w:rPr>
        <w:t>акон за концесии, како и дополнително да ја усогласи законската рамка во овие области со правото на ЕУ;</w:t>
      </w:r>
    </w:p>
    <w:p w14:paraId="789E3B6C" w14:textId="77777777" w:rsidR="00A50BBD" w:rsidRPr="00C9671E" w:rsidRDefault="00A50BBD" w:rsidP="006E4EB0">
      <w:pPr>
        <w:numPr>
          <w:ilvl w:val="0"/>
          <w:numId w:val="3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ја подобри координацијата меѓу клучните чинители во јавните набавки и да ги зајакне нивните капацитети за спроведување на начелата на транспарентност, слободна конкуренција, еднаков третман и недискриминација;</w:t>
      </w:r>
    </w:p>
    <w:p w14:paraId="695A92F8" w14:textId="77777777" w:rsidR="00A50BBD" w:rsidRPr="00C9671E" w:rsidRDefault="00A50BBD" w:rsidP="006E4EB0">
      <w:pPr>
        <w:numPr>
          <w:ilvl w:val="0"/>
          <w:numId w:val="36"/>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ја подобри контролата на постапките за јавни набавки преку ефикасно следење и пријавување неправилности, случаи на судир на интереси и измамнички практики.</w:t>
      </w:r>
    </w:p>
    <w:p w14:paraId="52C5344C" w14:textId="77777777"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Институционална поставеност и правно усогласување</w:t>
      </w:r>
    </w:p>
    <w:p w14:paraId="72741947" w14:textId="0FA65C2D"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bCs/>
          <w:sz w:val="24"/>
          <w:szCs w:val="24"/>
        </w:rPr>
        <w:t>Правната рамка</w:t>
      </w:r>
      <w:r w:rsidRPr="00C9671E">
        <w:rPr>
          <w:rFonts w:ascii="Times New Roman" w:hAnsi="Times New Roman" w:cs="Times New Roman"/>
          <w:sz w:val="24"/>
          <w:szCs w:val="24"/>
        </w:rPr>
        <w:t xml:space="preserve"> за јавните набавки во голема мера е усогласена со правото на ЕУ. Продолжи практиката на запишување компании „на црна листа“ поради професионална злоупотреба во фазата на набавки, што не е во согласност со правилата на ЕУ. Во 2021 година се издадени 33 негативни препораки од договорните органи, од кои шест биле одбиени од Бирото за јавни набавки (БЈН). Доцни финализирањето и донесувањето на </w:t>
      </w:r>
      <w:r>
        <w:rPr>
          <w:rFonts w:ascii="Times New Roman" w:hAnsi="Times New Roman" w:cs="Times New Roman"/>
          <w:sz w:val="24"/>
          <w:szCs w:val="24"/>
        </w:rPr>
        <w:t>З</w:t>
      </w:r>
      <w:r w:rsidRPr="00C9671E">
        <w:rPr>
          <w:rFonts w:ascii="Times New Roman" w:hAnsi="Times New Roman" w:cs="Times New Roman"/>
          <w:sz w:val="24"/>
          <w:szCs w:val="24"/>
        </w:rPr>
        <w:t xml:space="preserve">аконот за јавно-приватни партнерства и </w:t>
      </w:r>
      <w:r>
        <w:rPr>
          <w:rFonts w:ascii="Times New Roman" w:hAnsi="Times New Roman" w:cs="Times New Roman"/>
          <w:sz w:val="24"/>
          <w:szCs w:val="24"/>
        </w:rPr>
        <w:t>З</w:t>
      </w:r>
      <w:r w:rsidRPr="00C9671E">
        <w:rPr>
          <w:rFonts w:ascii="Times New Roman" w:hAnsi="Times New Roman" w:cs="Times New Roman"/>
          <w:sz w:val="24"/>
          <w:szCs w:val="24"/>
        </w:rPr>
        <w:t xml:space="preserve">аконот за концесии. </w:t>
      </w:r>
    </w:p>
    <w:p w14:paraId="6AFAB88B"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јули 2021 година Собранието го усвои законот со кој се именува стратегиски партнер за изградба на Коридорот VIII и на дел од Коридорот X. Со овој закон проектот се иззема од примената на Законот за јавни набавки и директно го доделува договорот без конкурентна постапка. Државната комисија за спречување на корупцијата поведе постапка за оценување на уставноста на овој закон. Во декември 2021 година Уставниот суд ја отфрли оваа иницијатива. </w:t>
      </w:r>
    </w:p>
    <w:p w14:paraId="2F86A129"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Стратегијата за јавни набавки за 2022-2026 година, дополнета со Акцискиот план за 2022 година, беше усвоена во март 2022 година. Бирото за јавни набавки продолжи да го осовременува и подобрува системот за јавни набавки во земјата со цел да ги подобри неговите перформанси и функционалности.</w:t>
      </w:r>
      <w:r w:rsidRPr="00C9671E">
        <w:rPr>
          <w:rFonts w:ascii="Times New Roman" w:hAnsi="Times New Roman" w:cs="Times New Roman"/>
          <w:b/>
          <w:sz w:val="24"/>
          <w:szCs w:val="24"/>
        </w:rPr>
        <w:t xml:space="preserve"> </w:t>
      </w:r>
      <w:r w:rsidRPr="00C9671E">
        <w:rPr>
          <w:rFonts w:ascii="Times New Roman" w:hAnsi="Times New Roman" w:cs="Times New Roman"/>
          <w:sz w:val="24"/>
          <w:szCs w:val="24"/>
        </w:rPr>
        <w:t xml:space="preserve">Сепак, треба да се зајакнат надлежностите на БЈН за следење и контрола. </w:t>
      </w:r>
    </w:p>
    <w:p w14:paraId="5AE174B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Соработката меѓу БЈН, Министерството за економија и Државната комисија за жалби (ДКЖ) и натаму е недоволна. Треба да се обезбеди поефективна размена на податоци и информации со Комисијата за заштита на конкуренцијата (КЗК), Државниот завод за ревизија (ДЗР) и Државната комисија за спречување на корупцијата (ДКСК).</w:t>
      </w:r>
    </w:p>
    <w:p w14:paraId="16467921"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Капацитетите на Министерството за економија за работа со концесии и јавно-приватни партнерства (ЈПП) и натаму се ограничени. Во 2021 година беа склучени пет нови договори за ЈПП. Потребно е да се воспостави регистар за ЈПП и регистар за концесии. Во март 2021 година беа одржани четири обуки за јавно-приватни партнерства, од кои една за медиумите и невладините организации и три континуирани општи обуки за вработените во централните државни и локални органи.</w:t>
      </w:r>
    </w:p>
    <w:p w14:paraId="28A19DC3"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Електронскиот систем за јавни набавки функционира ефикасно. Во тек е развивање платформа за е-пазар, е-каталози, односно натамошно подобрување на системот за процесирање на ДКЖ. Годишните планови за набавки на договорните органи редовно се објавуваат на електронскиот систем за јавни набавки. Модулот за електронска архива осигурува интегритет на електронските постапки преку чување на документацијата во оригинална електронска форма, додека модулот за е-жалби обезбедува електронска размена на податоци во жалбените постапки.</w:t>
      </w:r>
    </w:p>
    <w:p w14:paraId="5B2E1336" w14:textId="77777777"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Капацитет за спроведување и примена</w:t>
      </w:r>
    </w:p>
    <w:p w14:paraId="11A3E28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2021 година </w:t>
      </w:r>
      <w:r w:rsidRPr="00C9671E">
        <w:rPr>
          <w:rFonts w:ascii="Times New Roman" w:hAnsi="Times New Roman" w:cs="Times New Roman"/>
          <w:b/>
          <w:bCs/>
          <w:sz w:val="24"/>
          <w:szCs w:val="24"/>
        </w:rPr>
        <w:t>пазарот на јавни набавки</w:t>
      </w:r>
      <w:r w:rsidRPr="00C9671E">
        <w:rPr>
          <w:rFonts w:ascii="Times New Roman" w:hAnsi="Times New Roman" w:cs="Times New Roman"/>
          <w:sz w:val="24"/>
          <w:szCs w:val="24"/>
        </w:rPr>
        <w:t xml:space="preserve"> изнесуваше 11 % од БДП на земјата во споредба со 8,5 % во 2020 година. Тоа претставува 32 % од државниот буџет. Капацитетите на договорните органи на централно и на локално ниво треба да се зајакнат. </w:t>
      </w:r>
    </w:p>
    <w:p w14:paraId="573500D8"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критериумите за доделување во постапките за јавни набавки, примената на критериумот за економски најповолна понуда сè уште е ограничена. Потребно е да се организира континуирана обука за договорните органи во врска со примената на овој критериум. </w:t>
      </w:r>
    </w:p>
    <w:p w14:paraId="276E4F16"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следењето на доделувањето и спроведувањето договори</w:t>
      </w:r>
      <w:r w:rsidRPr="00C9671E">
        <w:rPr>
          <w:rFonts w:ascii="Times New Roman" w:hAnsi="Times New Roman" w:cs="Times New Roman"/>
          <w:sz w:val="24"/>
          <w:szCs w:val="24"/>
        </w:rPr>
        <w:t>, примената на постапки за набавка со преговарање се зголеми на 8 % во 2021 година, во споредба со 5,4 % во 2020 година. Во тек е процената на примената на централизираните набавки и рамковните спогодби од БЈН. Процентот на вкупна вредност на јавните набавки доделени на малите и на средните претпријатија се намали на 53 % во 2021 година, во споредба со 63 % во 2020 година. Поништувањето тендери се намали на 28,8 % во споредба со 30,8 % во 2020 година.</w:t>
      </w:r>
    </w:p>
    <w:p w14:paraId="4DDCD90E"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bCs/>
          <w:sz w:val="24"/>
          <w:szCs w:val="24"/>
        </w:rPr>
        <w:t>Капацитетот за управување со процесите на јавни набавки</w:t>
      </w:r>
      <w:r w:rsidRPr="00C9671E">
        <w:rPr>
          <w:rFonts w:ascii="Times New Roman" w:hAnsi="Times New Roman" w:cs="Times New Roman"/>
          <w:sz w:val="24"/>
          <w:szCs w:val="24"/>
        </w:rPr>
        <w:t xml:space="preserve"> треба дополнително да се зајакне, особено на локално ниво, со цел да се постигне покохерентен пристап во управувањето со циклусот на набавки. Квалитетот на тендерската документација останува предизвик за помалите договорни органи.</w:t>
      </w:r>
    </w:p>
    <w:p w14:paraId="2C7FD4AA" w14:textId="7C2AD102"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Регулаторните и институционалните механизми </w:t>
      </w:r>
      <w:r>
        <w:rPr>
          <w:rFonts w:ascii="Times New Roman" w:hAnsi="Times New Roman" w:cs="Times New Roman"/>
          <w:sz w:val="24"/>
          <w:szCs w:val="24"/>
        </w:rPr>
        <w:t>во поглед на</w:t>
      </w:r>
      <w:r w:rsidRPr="00C9671E">
        <w:rPr>
          <w:rFonts w:ascii="Times New Roman" w:hAnsi="Times New Roman" w:cs="Times New Roman"/>
          <w:sz w:val="24"/>
          <w:szCs w:val="24"/>
        </w:rPr>
        <w:t xml:space="preserve"> </w:t>
      </w:r>
      <w:r w:rsidRPr="00C9671E">
        <w:rPr>
          <w:rFonts w:ascii="Times New Roman" w:hAnsi="Times New Roman" w:cs="Times New Roman"/>
          <w:b/>
          <w:bCs/>
          <w:sz w:val="24"/>
          <w:szCs w:val="24"/>
        </w:rPr>
        <w:t>интегритет</w:t>
      </w:r>
      <w:r>
        <w:rPr>
          <w:rFonts w:ascii="Times New Roman" w:hAnsi="Times New Roman" w:cs="Times New Roman"/>
          <w:b/>
          <w:bCs/>
          <w:sz w:val="24"/>
          <w:szCs w:val="24"/>
        </w:rPr>
        <w:t>от</w:t>
      </w:r>
      <w:r w:rsidRPr="00C9671E">
        <w:rPr>
          <w:rFonts w:ascii="Times New Roman" w:hAnsi="Times New Roman" w:cs="Times New Roman"/>
          <w:b/>
          <w:bCs/>
          <w:sz w:val="24"/>
          <w:szCs w:val="24"/>
        </w:rPr>
        <w:t xml:space="preserve"> и судир</w:t>
      </w:r>
      <w:r>
        <w:rPr>
          <w:rFonts w:ascii="Times New Roman" w:hAnsi="Times New Roman" w:cs="Times New Roman"/>
          <w:b/>
          <w:bCs/>
          <w:sz w:val="24"/>
          <w:szCs w:val="24"/>
        </w:rPr>
        <w:t>от</w:t>
      </w:r>
      <w:r w:rsidRPr="00C9671E">
        <w:rPr>
          <w:rFonts w:ascii="Times New Roman" w:hAnsi="Times New Roman" w:cs="Times New Roman"/>
          <w:b/>
          <w:bCs/>
          <w:sz w:val="24"/>
          <w:szCs w:val="24"/>
        </w:rPr>
        <w:t xml:space="preserve"> на интереси</w:t>
      </w:r>
      <w:r w:rsidRPr="00C9671E">
        <w:rPr>
          <w:rFonts w:ascii="Times New Roman" w:hAnsi="Times New Roman" w:cs="Times New Roman"/>
          <w:sz w:val="24"/>
          <w:szCs w:val="24"/>
        </w:rPr>
        <w:t xml:space="preserve"> и натаму се недоволни. Во циклусот на набавки не е инкорпориран систем за процена на ризик, со што би се обезбедило навремено информирање за можни коруптивни практики или неправилности. </w:t>
      </w:r>
    </w:p>
    <w:p w14:paraId="3F0E4AC9" w14:textId="77777777"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Ефикасен систем за правна заштита</w:t>
      </w:r>
    </w:p>
    <w:p w14:paraId="2257D05F" w14:textId="11A12F71"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Законодавството </w:t>
      </w:r>
      <w:r>
        <w:rPr>
          <w:rFonts w:ascii="Times New Roman" w:hAnsi="Times New Roman" w:cs="Times New Roman"/>
          <w:sz w:val="24"/>
          <w:szCs w:val="24"/>
        </w:rPr>
        <w:t>од областа на</w:t>
      </w:r>
      <w:r w:rsidRPr="00C9671E">
        <w:rPr>
          <w:rFonts w:ascii="Times New Roman" w:hAnsi="Times New Roman" w:cs="Times New Roman"/>
          <w:sz w:val="24"/>
          <w:szCs w:val="24"/>
        </w:rPr>
        <w:t xml:space="preserve"> </w:t>
      </w:r>
      <w:r w:rsidRPr="00C9671E">
        <w:rPr>
          <w:rFonts w:ascii="Times New Roman" w:hAnsi="Times New Roman" w:cs="Times New Roman"/>
          <w:b/>
          <w:bCs/>
          <w:sz w:val="24"/>
          <w:szCs w:val="24"/>
        </w:rPr>
        <w:t>правото на правен лек</w:t>
      </w:r>
      <w:r w:rsidRPr="00C9671E">
        <w:rPr>
          <w:rFonts w:ascii="Times New Roman" w:hAnsi="Times New Roman" w:cs="Times New Roman"/>
          <w:sz w:val="24"/>
          <w:szCs w:val="24"/>
        </w:rPr>
        <w:t xml:space="preserve"> во голема мера е усогласено со правото на ЕУ. </w:t>
      </w:r>
      <w:r w:rsidRPr="00C9671E">
        <w:rPr>
          <w:rFonts w:ascii="Times New Roman" w:hAnsi="Times New Roman" w:cs="Times New Roman"/>
          <w:b/>
          <w:bCs/>
          <w:sz w:val="24"/>
          <w:szCs w:val="24"/>
        </w:rPr>
        <w:t>Капацитетот за спроведување</w:t>
      </w:r>
      <w:r w:rsidRPr="00C9671E">
        <w:rPr>
          <w:rFonts w:ascii="Times New Roman" w:hAnsi="Times New Roman" w:cs="Times New Roman"/>
          <w:sz w:val="24"/>
          <w:szCs w:val="24"/>
        </w:rPr>
        <w:t xml:space="preserve"> на ДКЖ и натаму е недоволен. Со оглед на значително зголемениот број жалби во споредба со изминатите години (1.109 во 2021 година, 1.076 во 2020 година и 902 во 2019 година), постои потреба од дополнителен квалификуван кадар за да се обезбеди навремено постапување по жалбите. Стапката на решавање во 2021 година изнесуваше 97,9 %.</w:t>
      </w:r>
    </w:p>
    <w:p w14:paraId="1DE18DB4" w14:textId="77777777" w:rsidR="00A50BBD" w:rsidRPr="00C9671E" w:rsidRDefault="00A50BBD" w:rsidP="006E4EB0">
      <w:pPr>
        <w:pStyle w:val="Heading3"/>
        <w:spacing w:before="0"/>
      </w:pPr>
      <w:bookmarkStart w:id="106" w:name="_Toc117004158"/>
      <w:bookmarkStart w:id="107" w:name="bookmark63"/>
      <w:bookmarkStart w:id="108" w:name="bookmark64"/>
      <w:bookmarkStart w:id="109" w:name="_Toc9430367"/>
      <w:bookmarkStart w:id="110" w:name="_Toc51252790"/>
      <w:bookmarkStart w:id="111" w:name="_Toc84329775"/>
      <w:bookmarkStart w:id="112" w:name="_Toc84631577"/>
      <w:bookmarkStart w:id="113" w:name="_Toc115619787"/>
      <w:r w:rsidRPr="00C9671E">
        <w:t>Поглавје 18: Статистика</w:t>
      </w:r>
      <w:bookmarkEnd w:id="106"/>
      <w:r w:rsidRPr="00C9671E">
        <w:t xml:space="preserve"> </w:t>
      </w:r>
      <w:bookmarkEnd w:id="107"/>
      <w:bookmarkEnd w:id="108"/>
      <w:bookmarkEnd w:id="109"/>
      <w:bookmarkEnd w:id="110"/>
      <w:bookmarkEnd w:id="111"/>
      <w:bookmarkEnd w:id="112"/>
      <w:bookmarkEnd w:id="113"/>
    </w:p>
    <w:p w14:paraId="7105E6EA" w14:textId="77777777" w:rsidR="00A50BBD" w:rsidRPr="00C9671E" w:rsidRDefault="00A50BBD" w:rsidP="006E4EB0">
      <w:pPr>
        <w:spacing w:after="120" w:line="240" w:lineRule="auto"/>
        <w:jc w:val="both"/>
        <w:rPr>
          <w:rFonts w:ascii="Times New Roman" w:eastAsia="Times New Roman" w:hAnsi="Times New Roman" w:cs="Times New Roman"/>
          <w:i/>
          <w:sz w:val="24"/>
          <w:szCs w:val="24"/>
        </w:rPr>
      </w:pPr>
      <w:r w:rsidRPr="00C9671E">
        <w:rPr>
          <w:rFonts w:ascii="Times New Roman" w:hAnsi="Times New Roman" w:cs="Times New Roman"/>
          <w:i/>
          <w:sz w:val="24"/>
          <w:szCs w:val="24"/>
        </w:rPr>
        <w:lastRenderedPageBreak/>
        <w:t>Правилата на ЕУ наложуваат земјите членки да се оспособат да изготват статистики со добар квалитет, во согласност со начелата на Кодексот за работа на европската статистика и врз основа на професионална независност, непристрасност, веродостојност, транспарентност и доверливост. Предвидени се заеднички правила за методологија, производство и дисеминација на статистички информации.</w:t>
      </w:r>
    </w:p>
    <w:p w14:paraId="0A788583"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bCs/>
          <w:sz w:val="24"/>
          <w:szCs w:val="24"/>
        </w:rPr>
        <w:t>умерено подготвена</w:t>
      </w:r>
      <w:r w:rsidRPr="00C9671E">
        <w:rPr>
          <w:rFonts w:ascii="Times New Roman" w:hAnsi="Times New Roman" w:cs="Times New Roman"/>
          <w:sz w:val="24"/>
          <w:szCs w:val="24"/>
        </w:rPr>
        <w:t xml:space="preserve"> во областа на статистиката. Постигнат е </w:t>
      </w:r>
      <w:r w:rsidRPr="00C9671E">
        <w:rPr>
          <w:rFonts w:ascii="Times New Roman" w:hAnsi="Times New Roman" w:cs="Times New Roman"/>
          <w:b/>
          <w:bCs/>
          <w:sz w:val="24"/>
          <w:szCs w:val="24"/>
        </w:rPr>
        <w:t>добар напредок</w:t>
      </w:r>
      <w:r w:rsidRPr="00C9671E">
        <w:rPr>
          <w:rFonts w:ascii="Times New Roman" w:hAnsi="Times New Roman" w:cs="Times New Roman"/>
          <w:sz w:val="24"/>
          <w:szCs w:val="24"/>
        </w:rPr>
        <w:t>, особено во објавувањето на првата серија податоци од пописот на населението во пролетта 2022 година. Забележани се подобрувања во сите статистички области и во натамошното усогласување на секторските статистики со стандардите на ЕУ, вклучително и преку зголемена примена на административни извори. Потребни се континуирани напори за подобрување на опсегот и на квалитетот на податоците од макроекономската и социјалната статистика. Со оглед на тоа што минатогодишните препораки не беа целосно спроведени, во наредната година земјата особено треба:</w:t>
      </w:r>
      <w:r w:rsidRPr="00C9671E">
        <w:rPr>
          <w:rFonts w:ascii="Times New Roman" w:hAnsi="Times New Roman" w:cs="Times New Roman"/>
          <w:sz w:val="24"/>
          <w:szCs w:val="24"/>
        </w:rPr>
        <w:cr/>
      </w:r>
    </w:p>
    <w:p w14:paraId="4CA6B8A6" w14:textId="77777777" w:rsidR="00A50BBD" w:rsidRPr="00C9671E" w:rsidRDefault="00A50BBD" w:rsidP="006E4EB0">
      <w:pPr>
        <w:numPr>
          <w:ilvl w:val="0"/>
          <w:numId w:val="3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sz w:val="24"/>
          <w:szCs w:val="24"/>
        </w:rPr>
      </w:pPr>
      <w:r w:rsidRPr="00C9671E">
        <w:rPr>
          <w:rFonts w:ascii="Times New Roman" w:hAnsi="Times New Roman" w:cs="Times New Roman"/>
          <w:sz w:val="24"/>
          <w:szCs w:val="24"/>
        </w:rPr>
        <w:t>да ги објави сите резултати од пописот на населението до крајот на 2022 година и да осигури дека резултатите од пописот се земени предвид во донесувањето одлуки и во распределбата на средства;</w:t>
      </w:r>
    </w:p>
    <w:p w14:paraId="33068BC7" w14:textId="77777777" w:rsidR="00A50BBD" w:rsidRPr="00C9671E" w:rsidRDefault="00A50BBD" w:rsidP="006E4EB0">
      <w:pPr>
        <w:numPr>
          <w:ilvl w:val="0"/>
          <w:numId w:val="3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sz w:val="24"/>
          <w:szCs w:val="24"/>
        </w:rPr>
      </w:pPr>
      <w:r w:rsidRPr="00C9671E">
        <w:rPr>
          <w:rFonts w:ascii="Times New Roman" w:hAnsi="Times New Roman" w:cs="Times New Roman"/>
          <w:sz w:val="24"/>
          <w:szCs w:val="24"/>
        </w:rPr>
        <w:t>итно да обезбеди соодветна кадровска екипираност и доволно финансиски средства за Државниот завод за статистика;</w:t>
      </w:r>
    </w:p>
    <w:p w14:paraId="1D2D121C" w14:textId="77777777" w:rsidR="00A50BBD" w:rsidRPr="00C9671E" w:rsidRDefault="00A50BBD" w:rsidP="006E4EB0">
      <w:pPr>
        <w:numPr>
          <w:ilvl w:val="0"/>
          <w:numId w:val="34"/>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SimSun" w:hAnsi="Times New Roman" w:cs="Times New Roman"/>
          <w:sz w:val="24"/>
          <w:szCs w:val="24"/>
        </w:rPr>
      </w:pPr>
      <w:r w:rsidRPr="00C9671E">
        <w:rPr>
          <w:rFonts w:ascii="Times New Roman" w:hAnsi="Times New Roman" w:cs="Times New Roman"/>
          <w:sz w:val="24"/>
          <w:szCs w:val="24"/>
        </w:rPr>
        <w:t>да продолжи да ги усогласува финансиските сметки и кварталните национални сметки со Европскиот систем на сметки 2010 (ЕСС 2010);</w:t>
      </w:r>
    </w:p>
    <w:p w14:paraId="651C7437"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Правната рамка за </w:t>
      </w:r>
      <w:r w:rsidRPr="00C9671E">
        <w:rPr>
          <w:rFonts w:ascii="Times New Roman" w:hAnsi="Times New Roman" w:cs="Times New Roman"/>
          <w:b/>
          <w:bCs/>
          <w:sz w:val="24"/>
          <w:szCs w:val="24"/>
        </w:rPr>
        <w:t>статистичката инфраструктура</w:t>
      </w:r>
      <w:r w:rsidRPr="00C9671E">
        <w:rPr>
          <w:rFonts w:ascii="Times New Roman" w:hAnsi="Times New Roman" w:cs="Times New Roman"/>
          <w:sz w:val="24"/>
          <w:szCs w:val="24"/>
        </w:rPr>
        <w:t xml:space="preserve"> во голема мера е усогласена со Кодексот за работа на европската статистика. Во декември 2021 година Државниот завод за статистика (ДЗС) започна со подготовка на нова програма за статистички истражувања за 2023-2027 година во консултација со чинителите. Во однос на другите главни статистички органи, Народната банка останува целосно усогласена со Кодексот за работа на европската статистика. Министерството за финансии сè уште нема назначено раководител за статистика. Опремата за зачувување резервни податоци на Државниот завод за статистика е оперативна и поставена е во националниот Центар за санирање од катастрофи во Прилеп, со што секојдневно се зачувуваат резервни податоци на ДЗС. На крајот од 2021 година ДЗС донесе нова Комуникациска стратегија за употреба на социјалните медиуми. Во текот на извештајниот период</w:t>
      </w:r>
      <w:r>
        <w:rPr>
          <w:rFonts w:ascii="Times New Roman" w:hAnsi="Times New Roman" w:cs="Times New Roman"/>
          <w:sz w:val="24"/>
          <w:szCs w:val="24"/>
        </w:rPr>
        <w:t>,</w:t>
      </w:r>
      <w:r w:rsidRPr="00C9671E">
        <w:rPr>
          <w:rFonts w:ascii="Times New Roman" w:hAnsi="Times New Roman" w:cs="Times New Roman"/>
          <w:sz w:val="24"/>
          <w:szCs w:val="24"/>
        </w:rPr>
        <w:t xml:space="preserve"> ДЗС донесе неколку стратегиски документи поврзани со управувањето со квалитетот, како што се Индикатори за квалитет, Политика за квалитет и Патоказ за воведување квалитетна внатрешна ревизија на податоци. Продолжи трендот на намалување на човечките ресурси на државниот статистички систем, при што не беше одобрен финансискиот план на ДЗС за нови вработувања во 2021 и во 2022 година. Во 2021 и во 2022 година беа намалени годишните буџети за тековни активности на ДЗС, со што продолжи негативниот тренд.</w:t>
      </w:r>
    </w:p>
    <w:p w14:paraId="0FA35D17"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класификациите и регистрите</w:t>
      </w:r>
      <w:r w:rsidRPr="00C9671E">
        <w:rPr>
          <w:rFonts w:ascii="Times New Roman" w:hAnsi="Times New Roman" w:cs="Times New Roman"/>
          <w:sz w:val="24"/>
          <w:szCs w:val="24"/>
        </w:rPr>
        <w:t xml:space="preserve">, главните класификации се во согласност со правото на ЕУ и редовно се ажурираат. Постигнат е напредок во примената на извори на административни податоци, вклучително и во примената на комбинираната методологија за попис на населението. Во јуни 2022 година ДЗС започна со тестирање на новиот логички дизајн на Статистичкиот деловен регистар. Во октомври 2021 година беше направен редизајн на административниот регистар на земјоделски стопанства чии податоци редовно се внесуваат во Статистичкиот регистар на земјоделски стопанства. </w:t>
      </w:r>
      <w:r w:rsidRPr="00C9671E">
        <w:rPr>
          <w:rFonts w:ascii="Times New Roman" w:hAnsi="Times New Roman" w:cs="Times New Roman"/>
          <w:sz w:val="24"/>
          <w:szCs w:val="24"/>
        </w:rPr>
        <w:lastRenderedPageBreak/>
        <w:t>Како резултат на одржаниот попис подобрени се достапноста и квалитетот на податоците, но сè уште е потребно дополнително да се усогласат со новите барања. Преносот на податоци до Евростат дополнително се зголеми, но и натаму е нецелосен.</w:t>
      </w:r>
    </w:p>
    <w:p w14:paraId="0936FF8B"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постигна добар напредок во областа на </w:t>
      </w:r>
      <w:r w:rsidRPr="00C9671E">
        <w:rPr>
          <w:rFonts w:ascii="Times New Roman" w:hAnsi="Times New Roman" w:cs="Times New Roman"/>
          <w:b/>
          <w:bCs/>
          <w:sz w:val="24"/>
          <w:szCs w:val="24"/>
        </w:rPr>
        <w:t>макроекономската статистика</w:t>
      </w:r>
      <w:r w:rsidRPr="00C9671E">
        <w:rPr>
          <w:rFonts w:ascii="Times New Roman" w:hAnsi="Times New Roman" w:cs="Times New Roman"/>
          <w:sz w:val="24"/>
          <w:szCs w:val="24"/>
        </w:rPr>
        <w:t xml:space="preserve">. ДЗС продолжи со подобрувањето на статистиката за постапката за прекумерен дефицит (ППД) во однос на покриеноста и конзистентноста меѓу финансиските и нефинансиските податоци. ДЗС го пренесе известувањето за ППД за октомври 2021 година, вклучително и соодветните анекси. Сепак, покриеноста на ППД и статистиката за јавните финансии, која се добива преку Програмата за пренос на ЕСА 2010, треба дополнително да се прошират. Во април 2022 година беше извршен пренос на статистиката за трговија по валута на фактура (ТВФ) до Евростат во согласност со најновите стандарди на ЕУ. </w:t>
      </w:r>
    </w:p>
    <w:p w14:paraId="1DF63637"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Народната банка продолжи да доставува податоци за резерви за годишните финансиски сметки (серија податоци за 2013-2020 година) до Евростат и напредуваше во подготовката на експериментални податоци за квартални финансиски сметки (резерви и текови), податоци за годишни текови (според (пот)сектори и финансиски инструменти). Во септември 2021 година Народната банка достави до Евростат подетални податоци за приходите од СДИ (според активност и географска распределба), како и за состојбата и трансакциите на СДИ (податоци со вкрстена табулација според активност и географска распределба) за 2020 година.</w:t>
      </w:r>
    </w:p>
    <w:p w14:paraId="098A90BC"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добар напредок во областа на </w:t>
      </w:r>
      <w:r w:rsidRPr="00C9671E">
        <w:rPr>
          <w:rFonts w:ascii="Times New Roman" w:hAnsi="Times New Roman" w:cs="Times New Roman"/>
          <w:b/>
          <w:bCs/>
          <w:sz w:val="24"/>
          <w:szCs w:val="24"/>
        </w:rPr>
        <w:t>деловната статистика</w:t>
      </w:r>
      <w:r w:rsidRPr="00C9671E">
        <w:rPr>
          <w:rFonts w:ascii="Times New Roman" w:hAnsi="Times New Roman" w:cs="Times New Roman"/>
          <w:sz w:val="24"/>
          <w:szCs w:val="24"/>
        </w:rPr>
        <w:t>. Во однос на статистиката за странски филијали, беа објавени податоци за 2019 година. Во јуни 2021 и во јуни 2022 година ДЗС ги спроведе првото и второто пилот-истражување за Статистиката за меѓународна трговија со услуги (ИТСС), но без географска распределба. Првичните активности за воспоставување туристички сателитски сметки (ТСС) постигнаа добар напредок.</w:t>
      </w:r>
    </w:p>
    <w:p w14:paraId="23DF2AFB" w14:textId="6FA5C350"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многу добар напредок во однос на </w:t>
      </w:r>
      <w:r w:rsidRPr="00C9671E">
        <w:rPr>
          <w:rFonts w:ascii="Times New Roman" w:hAnsi="Times New Roman" w:cs="Times New Roman"/>
          <w:b/>
          <w:bCs/>
          <w:sz w:val="24"/>
          <w:szCs w:val="24"/>
        </w:rPr>
        <w:t>социјалната статистика</w:t>
      </w:r>
      <w:r w:rsidRPr="00C9671E">
        <w:rPr>
          <w:rFonts w:ascii="Times New Roman" w:hAnsi="Times New Roman" w:cs="Times New Roman"/>
          <w:sz w:val="24"/>
          <w:szCs w:val="24"/>
        </w:rPr>
        <w:t>. Особено е значаен напредокот постигнат со пописот на населението, домаќинствата и становите во Северна Македонија, кој беше спроведен од 5 до 30 септември 2021 година. И покрај предизвиците, сите планирани активности за пописот беа завршени навреме. Беше применет иновативен комбиниран метод на попишување со административни регистри и теренско попишување. Првите резултати од пописот беа објавени во март, април и во јуни 2022 година. Целосниот збир резултати од пописот, вклучително и податоците за домаќинствата и за географската мрежа, се објавуваат во серии. Ова претставува големо достигнување: ажурираните податоци за населението се од суштинско значење за планирањето и спроведувањето соодветни социјални, демографски и економски политики за доброто на сите граѓани. Преносот на податоци од истражувањето за приходите и условите за живот и статистиката за криминал е одложен поради недостиг на кадар. Постигнат е напредок во статистиката за пазарот на труд. Во тек се активности за добивање податоци од административните регистри за статистика во областа на образованието.</w:t>
      </w:r>
    </w:p>
    <w:p w14:paraId="438098E1"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w:t>
      </w:r>
      <w:r w:rsidRPr="00C9671E">
        <w:rPr>
          <w:rFonts w:ascii="Times New Roman" w:hAnsi="Times New Roman" w:cs="Times New Roman"/>
          <w:b/>
          <w:bCs/>
          <w:sz w:val="24"/>
          <w:szCs w:val="24"/>
        </w:rPr>
        <w:t>земјоделската статистика</w:t>
      </w:r>
      <w:r w:rsidRPr="00C9671E">
        <w:rPr>
          <w:rFonts w:ascii="Times New Roman" w:hAnsi="Times New Roman" w:cs="Times New Roman"/>
          <w:bCs/>
          <w:sz w:val="24"/>
          <w:szCs w:val="24"/>
        </w:rPr>
        <w:t>,</w:t>
      </w:r>
      <w:r w:rsidRPr="00C9671E">
        <w:rPr>
          <w:rFonts w:ascii="Times New Roman" w:hAnsi="Times New Roman" w:cs="Times New Roman"/>
          <w:sz w:val="24"/>
          <w:szCs w:val="24"/>
        </w:rPr>
        <w:t xml:space="preserve"> во јуни 2022 година ДЗС започна со подготовки за пилот-проект за земјоделски попис. Методологијата е усогласена со стандардите на ЕУ. Во јуни 2022 година беа изработени и објавени податоци за статистиката за рибарството, со цел усогласување со стандардите на ЕУ. Подобрена е статистиката за органското производство. Во врска со статистиката за шумарството, ДЗС го преработи истражувањето за шумски пожари и во декември 2021 година ги објави податоците од </w:t>
      </w:r>
      <w:r w:rsidRPr="00C9671E">
        <w:rPr>
          <w:rFonts w:ascii="Times New Roman" w:hAnsi="Times New Roman" w:cs="Times New Roman"/>
          <w:i/>
          <w:sz w:val="24"/>
          <w:szCs w:val="24"/>
        </w:rPr>
        <w:t>ад хок</w:t>
      </w:r>
      <w:r w:rsidRPr="00C9671E">
        <w:rPr>
          <w:rFonts w:ascii="Times New Roman" w:hAnsi="Times New Roman" w:cs="Times New Roman"/>
          <w:sz w:val="24"/>
          <w:szCs w:val="24"/>
        </w:rPr>
        <w:t xml:space="preserve"> истражувањето.</w:t>
      </w:r>
    </w:p>
    <w:p w14:paraId="3775C455" w14:textId="77777777" w:rsidR="00A50BBD" w:rsidRPr="00C9671E" w:rsidRDefault="00A50BBD" w:rsidP="006E4EB0">
      <w:pPr>
        <w:spacing w:after="120" w:line="240" w:lineRule="auto"/>
        <w:jc w:val="both"/>
        <w:rPr>
          <w:rFonts w:ascii="Times New Roman" w:eastAsia="SimSun" w:hAnsi="Times New Roman" w:cs="Times New Roman"/>
          <w:sz w:val="24"/>
          <w:szCs w:val="24"/>
        </w:rPr>
      </w:pPr>
      <w:r w:rsidRPr="00C9671E">
        <w:rPr>
          <w:rFonts w:ascii="Times New Roman" w:hAnsi="Times New Roman" w:cs="Times New Roman"/>
          <w:sz w:val="24"/>
          <w:szCs w:val="24"/>
        </w:rPr>
        <w:lastRenderedPageBreak/>
        <w:t xml:space="preserve">Во областа на </w:t>
      </w:r>
      <w:r w:rsidRPr="00C9671E">
        <w:rPr>
          <w:rFonts w:ascii="Times New Roman" w:hAnsi="Times New Roman" w:cs="Times New Roman"/>
          <w:b/>
          <w:bCs/>
          <w:sz w:val="24"/>
          <w:szCs w:val="24"/>
        </w:rPr>
        <w:t>статистиката за енергетика и животна средина</w:t>
      </w:r>
      <w:r w:rsidRPr="00C9671E">
        <w:rPr>
          <w:rFonts w:ascii="Times New Roman" w:hAnsi="Times New Roman" w:cs="Times New Roman"/>
          <w:sz w:val="24"/>
          <w:szCs w:val="24"/>
        </w:rPr>
        <w:t>, статистиката за трошоците за заштита на животната средина, статистиката за отпад, статистиката за вода и статистиката за даноци поврзани со животната средина беа дополнително усогласени со правото на ЕУ. Во октомври 2021 година првпат ДЗС достави податоци до Евростат што содржат изработени табели за трошоци за заштита на животната средина (ЕПЕА) и извештаи за квалитет со првични податоци изработени за секторот на стоки и услуги поврзани со животната средина, сметки за емисиите во воздухот и сметки за физичкиот проток на енергија. Составувањето табели за трошоци за животната средина за Владата не е реализирано. Редовно се доставуваат податоци за сметки за проток на материјали, иако сè уште не се вклучени билансите за проток на материјали. Потребна е поголема сеопфатност на билансите за енергетика со вклучување на соларната топлинска енергија. Резултатите од истражувањето врз основа на примерок за потрошувачката на енергија во домаќинствата беа објавени во 2021 година.</w:t>
      </w:r>
    </w:p>
    <w:p w14:paraId="3BF9CD7E" w14:textId="77777777" w:rsidR="00A50BBD" w:rsidRPr="00C9671E" w:rsidRDefault="00A50BBD" w:rsidP="006E4EB0">
      <w:pPr>
        <w:pStyle w:val="Heading3"/>
        <w:spacing w:before="0"/>
      </w:pPr>
      <w:bookmarkStart w:id="114" w:name="_Toc51252801"/>
      <w:bookmarkStart w:id="115" w:name="_Toc84329776"/>
      <w:bookmarkStart w:id="116" w:name="_Toc84631578"/>
      <w:bookmarkStart w:id="117" w:name="_Toc115619788"/>
      <w:bookmarkStart w:id="118" w:name="_Toc117004159"/>
      <w:r w:rsidRPr="00C9671E">
        <w:t>Поглавје 32: Финансиска контрола</w:t>
      </w:r>
      <w:bookmarkEnd w:id="114"/>
      <w:bookmarkEnd w:id="115"/>
      <w:bookmarkEnd w:id="116"/>
      <w:bookmarkEnd w:id="117"/>
      <w:bookmarkEnd w:id="118"/>
    </w:p>
    <w:p w14:paraId="794D21BA" w14:textId="77777777" w:rsidR="00A50BBD" w:rsidRPr="00C9671E" w:rsidRDefault="00A50BBD" w:rsidP="006E4EB0">
      <w:pPr>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szCs w:val="24"/>
        </w:rPr>
        <w:t xml:space="preserve">Врз основа на меѓународните стандарди, ЕУ ја унапредува реформата на националните системи за управување, со цел да се подобрат раководната одговорност, стабилното финансиско управување со приходите и расходите и надворешната ревизија на јавните финансии. Правилата за финансиска контрола дополнително ги штитат финансиските интереси на ЕУ од измами во управувањето со фондовите на ЕУ и од фалсификување на еврото. </w:t>
      </w:r>
    </w:p>
    <w:p w14:paraId="1F13DD4D"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bCs/>
          <w:sz w:val="24"/>
          <w:szCs w:val="24"/>
        </w:rPr>
        <w:t>умерено подготвена</w:t>
      </w:r>
      <w:r w:rsidRPr="00C9671E">
        <w:rPr>
          <w:rFonts w:ascii="Times New Roman" w:hAnsi="Times New Roman" w:cs="Times New Roman"/>
          <w:sz w:val="24"/>
          <w:szCs w:val="24"/>
        </w:rPr>
        <w:t xml:space="preserve"> во областа на финансиската контрола. Постигнат е </w:t>
      </w:r>
      <w:r w:rsidRPr="00C9671E">
        <w:rPr>
          <w:rFonts w:ascii="Times New Roman" w:hAnsi="Times New Roman" w:cs="Times New Roman"/>
          <w:b/>
          <w:bCs/>
          <w:sz w:val="24"/>
          <w:szCs w:val="24"/>
        </w:rPr>
        <w:t>ограничен напредок</w:t>
      </w:r>
      <w:r w:rsidRPr="00C9671E">
        <w:rPr>
          <w:rFonts w:ascii="Times New Roman" w:hAnsi="Times New Roman" w:cs="Times New Roman"/>
          <w:sz w:val="24"/>
          <w:szCs w:val="24"/>
        </w:rPr>
        <w:t xml:space="preserve"> во подобрувањето на системот за внатрешна контрола и раководна одговорност на раководителот на буџетскиот корисник на централно и на локално ниво, како и во донесувањето на новиот закон за буџети во септември 2022 година. Пандемијата на КОВИД-19 и ограничените капацитети на клучните чинители имаа негативно влијание врз спроведувањето на документот за политиката на јавната внатрешна финансиска контрола (ЈВФК) и на акцискиот план. Во собраниска постапка се наоѓа нов закон за јавна внатрешна финансиска контрола. Функционирањето на финансиската инспекција и натаму е недоволно. Независноста на Државниот завод за ревизија (ДЗР) сè уште не е гарантирана со Уставот. Сè уште треба да се подобрува ефикасноста на собранискиот надзор врз управувањето со јавните финансии.</w:t>
      </w:r>
    </w:p>
    <w:p w14:paraId="581D88D8" w14:textId="77777777"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Сè уште важат препораките од минатогодишниот извештај. Во наредната година земјата особено треба: </w:t>
      </w:r>
    </w:p>
    <w:p w14:paraId="0017B751" w14:textId="77777777" w:rsidR="00A50BBD" w:rsidRPr="00C9671E" w:rsidRDefault="00A50BBD" w:rsidP="006E4EB0">
      <w:pPr>
        <w:numPr>
          <w:ilvl w:val="0"/>
          <w:numId w:val="3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донесе нов закон за ЈВФК и методолошки алатки и да започне со нивно спроведување, со цел да се подобрат транспарентноста, раководната одговорност и ефикасното управување со јавните финансии;</w:t>
      </w:r>
    </w:p>
    <w:p w14:paraId="28E040AB" w14:textId="77777777" w:rsidR="00A50BBD" w:rsidRPr="00C9671E" w:rsidRDefault="00A50BBD" w:rsidP="006E4EB0">
      <w:pPr>
        <w:numPr>
          <w:ilvl w:val="0"/>
          <w:numId w:val="3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го донесе нацрт-законот за Државниот завод за ревизија со кој треба да се подобри соработката меѓу Државниот завод за ревизија и Собранието и да се подобри собраниската контрола врз спроведувањето на буџетот и последователното следење на ревизорските препораки на ДЗР;</w:t>
      </w:r>
    </w:p>
    <w:p w14:paraId="3E1DBA56" w14:textId="77777777" w:rsidR="00A50BBD" w:rsidRPr="00C9671E" w:rsidRDefault="00A50BBD" w:rsidP="006E4EB0">
      <w:pPr>
        <w:numPr>
          <w:ilvl w:val="0"/>
          <w:numId w:val="3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воспостави и да обезбеди ефикасно функционирање на мрежата за координација против измами (АФКОС) и да се подобрат спречувањето, управувањето и пријавувањето неправилности во врска со фондовите на ЕУ.</w:t>
      </w:r>
    </w:p>
    <w:p w14:paraId="15825108" w14:textId="77777777"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Јавна внатрешна финансиска контрола</w:t>
      </w:r>
    </w:p>
    <w:p w14:paraId="436B66F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Документот за политиката на ЈВФК ги поврзува приоритетите за ЈВФК од Стратегијата за реформа на јавната администрација за 2019-2022 година со приоритетите од Програмата за реформа на управувањето со јавните финансии за 2018-2021 година. Новата Програма за реформа на управувањето со јавните финансии за 2022-2025 година и понатаму ги опфаќа приоритетите дефинирани во </w:t>
      </w:r>
      <w:r w:rsidRPr="00C9671E">
        <w:rPr>
          <w:rFonts w:ascii="Times New Roman" w:hAnsi="Times New Roman" w:cs="Times New Roman"/>
          <w:b/>
          <w:bCs/>
          <w:sz w:val="24"/>
          <w:szCs w:val="24"/>
        </w:rPr>
        <w:t>стратегиската рамка</w:t>
      </w:r>
      <w:r w:rsidRPr="00C9671E">
        <w:rPr>
          <w:rFonts w:ascii="Times New Roman" w:hAnsi="Times New Roman" w:cs="Times New Roman"/>
          <w:sz w:val="24"/>
          <w:szCs w:val="24"/>
        </w:rPr>
        <w:t xml:space="preserve"> за ЈВФК и документот за политиката на ЈВФК. Во текот на 2021 година имаше одложувања во спроведувањето на овие стратегии поради пандемијата на КОВИД-19 и ограничениот капацитет на клучните чинители, како и доцнењето во усвојувањето на клучното законодавство, вклучително и на Законот за буџети и Законот за ЈВФК. Законот за буџети, конечно, беше усвоен во септември 2022 година. Известувањето за спроведувањето на документот за политиката на ЈВФК е интегрирано во Годишниот извештај за следење за 2021 година од Програмата за реформа на управувањето со јавните финансии.</w:t>
      </w:r>
    </w:p>
    <w:p w14:paraId="0A58E686"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И покрај дополнителните насоки, ефикасното спроведување на </w:t>
      </w:r>
      <w:r w:rsidRPr="00C9671E">
        <w:rPr>
          <w:rFonts w:ascii="Times New Roman" w:hAnsi="Times New Roman" w:cs="Times New Roman"/>
          <w:b/>
          <w:bCs/>
          <w:sz w:val="24"/>
          <w:szCs w:val="24"/>
        </w:rPr>
        <w:t xml:space="preserve">раководната одговорност </w:t>
      </w:r>
      <w:r w:rsidRPr="00C9671E">
        <w:rPr>
          <w:rFonts w:ascii="Times New Roman" w:hAnsi="Times New Roman" w:cs="Times New Roman"/>
          <w:sz w:val="24"/>
          <w:szCs w:val="24"/>
        </w:rPr>
        <w:t xml:space="preserve">останува предизвик за буџетските корисници на централно и на локално ниво. Потребно е да се обезбеди кохерентна примена на Прирачникот за раководна одговорност. Правната рамка за </w:t>
      </w:r>
      <w:r w:rsidRPr="00C9671E">
        <w:rPr>
          <w:rFonts w:ascii="Times New Roman" w:hAnsi="Times New Roman" w:cs="Times New Roman"/>
          <w:b/>
          <w:bCs/>
          <w:sz w:val="24"/>
          <w:szCs w:val="24"/>
        </w:rPr>
        <w:t>внатрешна контрола</w:t>
      </w:r>
      <w:r w:rsidRPr="00C9671E">
        <w:rPr>
          <w:rFonts w:ascii="Times New Roman" w:hAnsi="Times New Roman" w:cs="Times New Roman"/>
          <w:sz w:val="24"/>
          <w:szCs w:val="24"/>
        </w:rPr>
        <w:t xml:space="preserve"> во голема мера е усогласена со меѓународните стандарди. Сепак, нејзиното спроведување треба дополнително да се</w:t>
      </w:r>
      <w:r w:rsidRPr="00C9671E">
        <w:rPr>
          <w:rFonts w:ascii="Times New Roman" w:hAnsi="Times New Roman" w:cs="Times New Roman"/>
          <w:sz w:val="24"/>
          <w:szCs w:val="24"/>
        </w:rPr>
        <w:cr/>
        <w:t xml:space="preserve">зајакне. </w:t>
      </w:r>
    </w:p>
    <w:p w14:paraId="0F905449"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Потребно е да се постигне ефикасно функционирање на </w:t>
      </w:r>
      <w:r w:rsidRPr="00C9671E">
        <w:rPr>
          <w:rFonts w:ascii="Times New Roman" w:hAnsi="Times New Roman" w:cs="Times New Roman"/>
          <w:b/>
          <w:bCs/>
          <w:sz w:val="24"/>
          <w:szCs w:val="24"/>
        </w:rPr>
        <w:t>финансиската инспекција</w:t>
      </w:r>
      <w:r w:rsidRPr="00C9671E">
        <w:rPr>
          <w:rFonts w:ascii="Times New Roman" w:hAnsi="Times New Roman" w:cs="Times New Roman"/>
          <w:sz w:val="24"/>
          <w:szCs w:val="24"/>
        </w:rPr>
        <w:t xml:space="preserve">. Потребно е натамошно усогласување на правната основа, како и развој и спроведување на методолошки алатки со кои ќе се овозможи стабилно финансиско управување. </w:t>
      </w:r>
    </w:p>
    <w:p w14:paraId="2EFE317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Фрагментарноста и несоодветната кадровска екипираност за </w:t>
      </w:r>
      <w:r w:rsidRPr="00C9671E">
        <w:rPr>
          <w:rFonts w:ascii="Times New Roman" w:hAnsi="Times New Roman" w:cs="Times New Roman"/>
          <w:b/>
          <w:bCs/>
          <w:sz w:val="24"/>
          <w:szCs w:val="24"/>
        </w:rPr>
        <w:t>внатрешна</w:t>
      </w:r>
      <w:r w:rsidRPr="00C9671E">
        <w:rPr>
          <w:rFonts w:ascii="Times New Roman" w:hAnsi="Times New Roman" w:cs="Times New Roman"/>
          <w:sz w:val="24"/>
          <w:szCs w:val="24"/>
        </w:rPr>
        <w:t xml:space="preserve"> </w:t>
      </w:r>
      <w:r w:rsidRPr="00C9671E">
        <w:rPr>
          <w:rFonts w:ascii="Times New Roman" w:hAnsi="Times New Roman" w:cs="Times New Roman"/>
          <w:b/>
          <w:bCs/>
          <w:sz w:val="24"/>
          <w:szCs w:val="24"/>
        </w:rPr>
        <w:t>ревизија</w:t>
      </w:r>
      <w:r w:rsidRPr="00C9671E">
        <w:rPr>
          <w:rFonts w:ascii="Times New Roman" w:hAnsi="Times New Roman" w:cs="Times New Roman"/>
          <w:sz w:val="24"/>
          <w:szCs w:val="24"/>
        </w:rPr>
        <w:t xml:space="preserve"> ги намалуваат организацискиот капацитет и обезбедувањето квалитет. Потребно е да се воведе национален систем за сертификација за внатрешни ревизори.</w:t>
      </w:r>
    </w:p>
    <w:p w14:paraId="68BB6303" w14:textId="4542B5EB"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bCs/>
          <w:sz w:val="24"/>
          <w:szCs w:val="24"/>
        </w:rPr>
        <w:t>Централната единица за хармонизација</w:t>
      </w:r>
      <w:r w:rsidRPr="00C9671E">
        <w:rPr>
          <w:rFonts w:ascii="Times New Roman" w:hAnsi="Times New Roman" w:cs="Times New Roman"/>
          <w:sz w:val="24"/>
          <w:szCs w:val="24"/>
        </w:rPr>
        <w:t xml:space="preserve"> продолжува да обезбедува методолошки насоки и да г</w:t>
      </w:r>
      <w:r>
        <w:rPr>
          <w:rFonts w:ascii="Times New Roman" w:hAnsi="Times New Roman" w:cs="Times New Roman"/>
          <w:sz w:val="24"/>
          <w:szCs w:val="24"/>
        </w:rPr>
        <w:t>и</w:t>
      </w:r>
      <w:r w:rsidRPr="00C9671E">
        <w:rPr>
          <w:rFonts w:ascii="Times New Roman" w:hAnsi="Times New Roman" w:cs="Times New Roman"/>
          <w:sz w:val="24"/>
          <w:szCs w:val="24"/>
        </w:rPr>
        <w:t xml:space="preserve"> координира развојот на финансиското управување и контрола и внатрешната ревизија во јавниот сектор. Сепак, нејзиниот капацитет и натаму е недоволен, особено во однос на следењето и известувањето за функционирањето на целокупниот систем за внатрешна контрола што изнесува 1.380 јавни субјекти.</w:t>
      </w:r>
    </w:p>
    <w:p w14:paraId="77D2554F" w14:textId="77777777"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Надворешна ревизија</w:t>
      </w:r>
    </w:p>
    <w:p w14:paraId="5B1FB521" w14:textId="2B49DAE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Законот за </w:t>
      </w:r>
      <w:r w:rsidRPr="00C9671E">
        <w:rPr>
          <w:rFonts w:ascii="Times New Roman" w:hAnsi="Times New Roman" w:cs="Times New Roman"/>
          <w:b/>
          <w:bCs/>
          <w:sz w:val="24"/>
          <w:szCs w:val="24"/>
        </w:rPr>
        <w:t>Државниот завод за ревизија</w:t>
      </w:r>
      <w:r w:rsidRPr="00C9671E">
        <w:rPr>
          <w:rFonts w:ascii="Times New Roman" w:hAnsi="Times New Roman" w:cs="Times New Roman"/>
          <w:sz w:val="24"/>
          <w:szCs w:val="24"/>
        </w:rPr>
        <w:t xml:space="preserve"> во голема мера е усогласен со меѓународните стандарди. Во тек е дополнително усогласување на правната рамка, со цел да се обезбеди подобрена функција на надворешната ревизија во јавниот сектор, како и зголемена финансиска и оперативна независност на </w:t>
      </w:r>
      <w:r w:rsidRPr="00C9671E">
        <w:rPr>
          <w:rFonts w:ascii="Times New Roman" w:hAnsi="Times New Roman" w:cs="Times New Roman"/>
          <w:bCs/>
          <w:sz w:val="24"/>
          <w:szCs w:val="24"/>
        </w:rPr>
        <w:t>Државниот завод за ревизија</w:t>
      </w:r>
      <w:r w:rsidRPr="00C9671E">
        <w:rPr>
          <w:rFonts w:ascii="Times New Roman" w:hAnsi="Times New Roman" w:cs="Times New Roman"/>
          <w:sz w:val="24"/>
          <w:szCs w:val="24"/>
        </w:rPr>
        <w:t xml:space="preserve">. Уставот сè уште не ја гарантира независноста на </w:t>
      </w:r>
      <w:r w:rsidRPr="00C9671E">
        <w:rPr>
          <w:rFonts w:ascii="Times New Roman" w:hAnsi="Times New Roman" w:cs="Times New Roman"/>
          <w:bCs/>
          <w:sz w:val="24"/>
          <w:szCs w:val="24"/>
        </w:rPr>
        <w:t>Државниот завод за ревизија</w:t>
      </w:r>
      <w:r w:rsidRPr="00C9671E">
        <w:rPr>
          <w:rFonts w:ascii="Times New Roman" w:hAnsi="Times New Roman" w:cs="Times New Roman"/>
          <w:sz w:val="24"/>
          <w:szCs w:val="24"/>
        </w:rPr>
        <w:t>.</w:t>
      </w:r>
    </w:p>
    <w:p w14:paraId="6A748F86" w14:textId="2F2E729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Cs/>
          <w:sz w:val="24"/>
          <w:szCs w:val="24"/>
        </w:rPr>
        <w:t>Државниот завод за ревизија</w:t>
      </w:r>
      <w:r w:rsidRPr="00C9671E">
        <w:rPr>
          <w:rFonts w:ascii="Times New Roman" w:hAnsi="Times New Roman" w:cs="Times New Roman"/>
          <w:sz w:val="24"/>
          <w:szCs w:val="24"/>
        </w:rPr>
        <w:t xml:space="preserve"> врши ревизија на усогласеноста на завршните сметки на Владата на основниот буџет до јуни секоја година. Во 2021 година</w:t>
      </w:r>
      <w:r>
        <w:rPr>
          <w:rFonts w:ascii="Times New Roman" w:hAnsi="Times New Roman" w:cs="Times New Roman"/>
          <w:sz w:val="24"/>
          <w:szCs w:val="24"/>
        </w:rPr>
        <w:t>,</w:t>
      </w:r>
      <w:r w:rsidRPr="00C9671E">
        <w:rPr>
          <w:rFonts w:ascii="Times New Roman" w:hAnsi="Times New Roman" w:cs="Times New Roman"/>
          <w:sz w:val="24"/>
          <w:szCs w:val="24"/>
        </w:rPr>
        <w:t xml:space="preserve"> ревизорскиот дел од вкупните расходи за ревизија изнесуваше 80 %. Структурата на ревидираните трошоци вклучува трошоци опфатени со ревизија на регуларноста во износ од 129,48 милиони денари (односно 53 %), трошоци опфатени со ревизија на успешноста во износ од 61,84 милиони денари (односно 26 %) и трошоци опфатени со ревизија на усогласеноста во износ од 2,42 милиони денари (1 %). Годишниот извештај за 2020 година за извршените ревизии беше усвоен од Собранието во март 2021 година и објавен на веб-страницата на </w:t>
      </w:r>
      <w:r w:rsidRPr="00C9671E">
        <w:rPr>
          <w:rFonts w:ascii="Times New Roman" w:hAnsi="Times New Roman" w:cs="Times New Roman"/>
          <w:bCs/>
          <w:sz w:val="24"/>
          <w:szCs w:val="24"/>
        </w:rPr>
        <w:t>Државниот завод за ревизија</w:t>
      </w:r>
      <w:r w:rsidRPr="00C9671E">
        <w:rPr>
          <w:rFonts w:ascii="Times New Roman" w:hAnsi="Times New Roman" w:cs="Times New Roman"/>
          <w:sz w:val="24"/>
          <w:szCs w:val="24"/>
        </w:rPr>
        <w:t xml:space="preserve">. </w:t>
      </w:r>
      <w:r w:rsidRPr="00C9671E">
        <w:rPr>
          <w:rFonts w:ascii="Times New Roman" w:hAnsi="Times New Roman" w:cs="Times New Roman"/>
          <w:b/>
          <w:bCs/>
          <w:sz w:val="24"/>
          <w:szCs w:val="24"/>
        </w:rPr>
        <w:t>Квалитетот на ревизорската работа</w:t>
      </w:r>
      <w:r w:rsidRPr="00C9671E">
        <w:rPr>
          <w:rFonts w:ascii="Times New Roman" w:hAnsi="Times New Roman" w:cs="Times New Roman"/>
          <w:sz w:val="24"/>
          <w:szCs w:val="24"/>
        </w:rPr>
        <w:t xml:space="preserve"> може да се смета за доволен. Во 2021 година </w:t>
      </w:r>
      <w:r w:rsidRPr="00C9671E">
        <w:rPr>
          <w:rFonts w:ascii="Times New Roman" w:hAnsi="Times New Roman" w:cs="Times New Roman"/>
          <w:bCs/>
          <w:sz w:val="24"/>
          <w:szCs w:val="24"/>
        </w:rPr>
        <w:t>Државниот завод за ревизија</w:t>
      </w:r>
      <w:r w:rsidRPr="00C9671E">
        <w:rPr>
          <w:rFonts w:ascii="Times New Roman" w:hAnsi="Times New Roman" w:cs="Times New Roman"/>
          <w:sz w:val="24"/>
          <w:szCs w:val="24"/>
        </w:rPr>
        <w:t xml:space="preserve"> издаде 109 конечни </w:t>
      </w:r>
      <w:r w:rsidRPr="00C9671E">
        <w:rPr>
          <w:rFonts w:ascii="Times New Roman" w:hAnsi="Times New Roman" w:cs="Times New Roman"/>
          <w:sz w:val="24"/>
          <w:szCs w:val="24"/>
        </w:rPr>
        <w:lastRenderedPageBreak/>
        <w:t xml:space="preserve">ревизорски извештаи што беа пратени до Собранието за разгледување и објавени на веб-страницата на </w:t>
      </w:r>
      <w:r w:rsidRPr="00C9671E">
        <w:rPr>
          <w:rFonts w:ascii="Times New Roman" w:hAnsi="Times New Roman" w:cs="Times New Roman"/>
          <w:bCs/>
          <w:sz w:val="24"/>
          <w:szCs w:val="24"/>
        </w:rPr>
        <w:t>Државниот завод за ревизија</w:t>
      </w:r>
      <w:r w:rsidR="00F503A5">
        <w:rPr>
          <w:rFonts w:ascii="Times New Roman" w:hAnsi="Times New Roman" w:cs="Times New Roman"/>
          <w:sz w:val="24"/>
          <w:szCs w:val="24"/>
        </w:rPr>
        <w:t>.</w:t>
      </w:r>
    </w:p>
    <w:p w14:paraId="14B2EE09"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институционалниот капацитет</w:t>
      </w:r>
      <w:r w:rsidRPr="00C9671E">
        <w:rPr>
          <w:rFonts w:ascii="Times New Roman" w:hAnsi="Times New Roman" w:cs="Times New Roman"/>
          <w:sz w:val="24"/>
          <w:szCs w:val="24"/>
        </w:rPr>
        <w:t xml:space="preserve">, </w:t>
      </w:r>
      <w:r w:rsidRPr="00C9671E">
        <w:rPr>
          <w:rFonts w:ascii="Times New Roman" w:hAnsi="Times New Roman" w:cs="Times New Roman"/>
          <w:bCs/>
          <w:sz w:val="24"/>
          <w:szCs w:val="24"/>
        </w:rPr>
        <w:t>Државниот завод за ревизија</w:t>
      </w:r>
      <w:r w:rsidRPr="00C9671E">
        <w:rPr>
          <w:rFonts w:ascii="Times New Roman" w:hAnsi="Times New Roman" w:cs="Times New Roman"/>
          <w:sz w:val="24"/>
          <w:szCs w:val="24"/>
        </w:rPr>
        <w:t xml:space="preserve"> продолжи со спроведување на Стратегијата за развој за 2018-2022 година и Стратегијата за управување со човечки ресурси за 2020-2023 година. Во 2021 година бројот вработени се зголеми за 15 вработени. Буџетот на Државниот завод за ревизија за 2022 година беше одобрен како што беше побарано и во споредба со 2019 година е зголемен за 49,59 %. Во 2022 година ќе бидат вработени уште шест лица во согласност со Годишниот план за вработување на Државниот завод за ревизија за 2022 година. </w:t>
      </w:r>
    </w:p>
    <w:p w14:paraId="2F628764"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Државниот завод за ревизија продолжи со спроведување на годишниот план за стручно усовршување и обука на државните ревизори. Постигнат е напредок во зголемувањето на јавната свест за нивните активности, со што е зголемен интересот на медиумите, како и во спроведувањето на Комуникациската стратегија за 2020-2023 година.</w:t>
      </w:r>
    </w:p>
    <w:p w14:paraId="71F0E30A" w14:textId="23EEDE2E"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влијанието на ревизорската работа</w:t>
      </w:r>
      <w:r w:rsidRPr="00C9671E">
        <w:rPr>
          <w:rFonts w:ascii="Times New Roman" w:hAnsi="Times New Roman" w:cs="Times New Roman"/>
          <w:sz w:val="24"/>
          <w:szCs w:val="24"/>
        </w:rPr>
        <w:t xml:space="preserve">, препораките на Државниот завод за ревизија не се спроведуваат ефикасно од субјектите на ревизија. Во 2021 година беа спроведени 88 % од препораките за ревизија. Соработката меѓу ДЗР и Собранието продолжува да се подобрува. Меѓутоа, собраниската контрола врз изготвувањето и спроведувањето на буџетот сè уште треба дополнително да се зајакнува. Треба да се зајакнат транспарентноста и отчетноста во управувањето со јавните финансии, врз основа на ефикасни механизми за следење и од извршната власт и од Собранието, вклучително и преку ефективно последователно следење на ревизорските препораки дадени од Државниот завод за ревизија. </w:t>
      </w:r>
    </w:p>
    <w:p w14:paraId="4142DD0F" w14:textId="77777777" w:rsidR="00A50BBD" w:rsidRPr="00C9671E" w:rsidRDefault="00A50BBD"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Заштита на финансиските интереси на ЕУ</w:t>
      </w:r>
    </w:p>
    <w:p w14:paraId="3D276DFA"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Националното законодавство останува во голема мера усогласено со Директивата 2017/1371 на ЕУ за борба против измама во врска со финансиските интереси на Унијата со примена на кривичното право. Започна процесот на усогласување со релевантното право на ЕУ и измените на Кривичниот законик се во собраниска постапка. Зајакнати се капацитетите на Одделението за координација на борбата против измама (мрежа за координација против измама) во рамките на Министерството за финансии, каде што во моментов се вработени пет лица. Развиена е законска основа за воспоставување институционалната рамка на системот за заштита на финансиските интереси на ЕУ (мрежа за координација против измама). Во </w:t>
      </w:r>
      <w:r>
        <w:rPr>
          <w:rFonts w:ascii="Times New Roman" w:hAnsi="Times New Roman" w:cs="Times New Roman"/>
          <w:sz w:val="24"/>
          <w:szCs w:val="24"/>
        </w:rPr>
        <w:t xml:space="preserve">јуни </w:t>
      </w:r>
      <w:r w:rsidRPr="00C9671E">
        <w:rPr>
          <w:rFonts w:ascii="Times New Roman" w:hAnsi="Times New Roman" w:cs="Times New Roman"/>
          <w:sz w:val="24"/>
          <w:szCs w:val="24"/>
        </w:rPr>
        <w:t>2022 година Владата донесе Национална стратегија за борба против измами за 2022-2025 година и поврзаниот акциски план.</w:t>
      </w:r>
      <w:r w:rsidRPr="00C9671E">
        <w:rPr>
          <w:rFonts w:ascii="Times New Roman" w:hAnsi="Times New Roman" w:cs="Times New Roman"/>
          <w:color w:val="FF0000"/>
          <w:sz w:val="24"/>
          <w:szCs w:val="24"/>
        </w:rPr>
        <w:t xml:space="preserve"> </w:t>
      </w:r>
      <w:r w:rsidRPr="00C9671E">
        <w:rPr>
          <w:rFonts w:ascii="Times New Roman" w:hAnsi="Times New Roman" w:cs="Times New Roman"/>
          <w:sz w:val="24"/>
          <w:szCs w:val="24"/>
        </w:rPr>
        <w:t>Преку системот за управување со неправилности националните органи пријавиле 19 случаи на неправилности во 2021 година, од кои 18 случаи се квалификувани како неправилности, а еден случај како сомневање за измама. Националните органи треба да ја продолжат добрата соработка со Европската комисија во областа на истрагите. За таа цел, особено треба да се обезбеди независност на судските органи од каков било притисок од јавноста и на властите треба да им се обезбеди соодветна современа опрема што ќе им овозможи правилно извршување на нивните должности.</w:t>
      </w:r>
    </w:p>
    <w:p w14:paraId="2CB2EE62"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u w:val="single"/>
        </w:rPr>
        <w:t xml:space="preserve">Заштита од фалсификување на еврото </w:t>
      </w:r>
    </w:p>
    <w:bookmarkEnd w:id="100"/>
    <w:bookmarkEnd w:id="101"/>
    <w:p w14:paraId="676FE1EB" w14:textId="60C2B0EE"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усогласувањето со правото на ЕУ</w:t>
      </w:r>
      <w:r w:rsidRPr="00C9671E">
        <w:rPr>
          <w:rFonts w:ascii="Times New Roman" w:hAnsi="Times New Roman" w:cs="Times New Roman"/>
          <w:sz w:val="24"/>
          <w:szCs w:val="24"/>
        </w:rPr>
        <w:t xml:space="preserve">, националното законодавство до одреден степен е </w:t>
      </w:r>
      <w:r>
        <w:rPr>
          <w:rFonts w:ascii="Times New Roman" w:hAnsi="Times New Roman" w:cs="Times New Roman"/>
          <w:sz w:val="24"/>
          <w:szCs w:val="24"/>
        </w:rPr>
        <w:t>хармонизирано</w:t>
      </w:r>
      <w:r w:rsidRPr="00C9671E">
        <w:rPr>
          <w:rFonts w:ascii="Times New Roman" w:hAnsi="Times New Roman" w:cs="Times New Roman"/>
          <w:sz w:val="24"/>
          <w:szCs w:val="24"/>
        </w:rPr>
        <w:t xml:space="preserve"> со регулативите на ЕУ со кои се уредува системот за борба против фалсификувањето на еврото. Во извештајниот период се забележува ограничен напредок. Народната банка продолжи да ги подобрува своите капацитети преку онлајн обуки и ангажирање стручњаци од сите клучни институции. Капацитетите </w:t>
      </w:r>
      <w:r w:rsidRPr="00C9671E">
        <w:rPr>
          <w:rFonts w:ascii="Times New Roman" w:hAnsi="Times New Roman" w:cs="Times New Roman"/>
          <w:sz w:val="24"/>
          <w:szCs w:val="24"/>
        </w:rPr>
        <w:lastRenderedPageBreak/>
        <w:t>на Министерството за внатрешни работи за спречување, откривање и истражување кривични дела поврзани со фалсификување пари остануваат ограничени. Сè уште не е воспоставен електронски систем за размена, обработка, анализа и пријавување случаи.</w:t>
      </w:r>
    </w:p>
    <w:p w14:paraId="4A3AD6AD" w14:textId="77777777" w:rsidR="00A50BBD" w:rsidRPr="00C9671E" w:rsidRDefault="00A50BBD" w:rsidP="006E4EB0">
      <w:pPr>
        <w:pStyle w:val="Heading1"/>
        <w:rPr>
          <w:rFonts w:ascii="Times New Roman" w:hAnsi="Times New Roman" w:cs="Times New Roman"/>
        </w:rPr>
      </w:pPr>
      <w:bookmarkStart w:id="119" w:name="_Toc115619789"/>
      <w:bookmarkStart w:id="120" w:name="_Toc117004160"/>
      <w:r w:rsidRPr="00C9671E">
        <w:rPr>
          <w:rFonts w:ascii="Times New Roman" w:hAnsi="Times New Roman" w:cs="Times New Roman"/>
        </w:rPr>
        <w:t>3.</w:t>
      </w:r>
      <w:r w:rsidRPr="00C9671E">
        <w:rPr>
          <w:rFonts w:ascii="Times New Roman" w:hAnsi="Times New Roman" w:cs="Times New Roman"/>
        </w:rPr>
        <w:tab/>
        <w:t>Добрососедски односи и регионална соработка</w:t>
      </w:r>
      <w:bookmarkEnd w:id="119"/>
      <w:bookmarkEnd w:id="120"/>
      <w:r w:rsidRPr="00C9671E">
        <w:rPr>
          <w:rFonts w:ascii="Times New Roman" w:hAnsi="Times New Roman" w:cs="Times New Roman"/>
        </w:rPr>
        <w:t xml:space="preserve"> </w:t>
      </w:r>
    </w:p>
    <w:p w14:paraId="4E4A90AD" w14:textId="280A7C05" w:rsidR="00A50BBD" w:rsidRPr="00C9671E" w:rsidRDefault="00A50BBD" w:rsidP="006E4EB0">
      <w:pPr>
        <w:spacing w:after="120" w:line="240" w:lineRule="auto"/>
        <w:jc w:val="both"/>
        <w:rPr>
          <w:rFonts w:ascii="Times New Roman" w:hAnsi="Times New Roman" w:cs="Times New Roman"/>
          <w:sz w:val="24"/>
          <w:szCs w:val="24"/>
        </w:rPr>
      </w:pPr>
      <w:bookmarkStart w:id="121" w:name="GUID4B3BA6CA503B400DA71B8511C757E55B"/>
      <w:r w:rsidRPr="00C9671E">
        <w:rPr>
          <w:rFonts w:ascii="Times New Roman" w:hAnsi="Times New Roman" w:cs="Times New Roman"/>
          <w:b/>
          <w:sz w:val="24"/>
          <w:szCs w:val="24"/>
        </w:rPr>
        <w:t>Добрососедските односи и регионалната соработка</w:t>
      </w:r>
      <w:r w:rsidRPr="00C9671E">
        <w:rPr>
          <w:rFonts w:ascii="Times New Roman" w:hAnsi="Times New Roman" w:cs="Times New Roman"/>
          <w:sz w:val="24"/>
          <w:szCs w:val="24"/>
        </w:rPr>
        <w:t xml:space="preserve"> претставуваат суштински дел од евроинтеграцискиот процес на Северна Македонија и придонесуваат за стабилност, помирување и клима што е погодна за решавање на отворените билатерални прашања и на наследствата од минатото.</w:t>
      </w:r>
    </w:p>
    <w:p w14:paraId="1D9D10EB"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Земјата продолжи да учествува во голем број регионални иницијативи за соработка, како што се Договорот за слободна трговија на Централна Европа (ЦЕФТА), Енергетската заедница, Транспортната заедница, Процесот на соработка во Југоисточна Европа (ПСЈИЕ) и Советот за регионална соработка.</w:t>
      </w:r>
      <w:r w:rsidRPr="00C9671E">
        <w:rPr>
          <w:rFonts w:ascii="Times New Roman" w:hAnsi="Times New Roman" w:cs="Times New Roman"/>
          <w:sz w:val="24"/>
          <w:szCs w:val="24"/>
          <w:vertAlign w:val="superscript"/>
        </w:rPr>
        <w:t xml:space="preserve"> </w:t>
      </w:r>
      <w:r w:rsidRPr="00C9671E">
        <w:rPr>
          <w:rFonts w:ascii="Times New Roman" w:hAnsi="Times New Roman" w:cs="Times New Roman"/>
          <w:sz w:val="24"/>
          <w:szCs w:val="24"/>
          <w:vertAlign w:val="superscript"/>
        </w:rPr>
        <w:footnoteReference w:id="19"/>
      </w:r>
      <w:r w:rsidRPr="00C9671E">
        <w:rPr>
          <w:rFonts w:ascii="Times New Roman" w:hAnsi="Times New Roman" w:cs="Times New Roman"/>
          <w:sz w:val="24"/>
          <w:szCs w:val="24"/>
          <w:vertAlign w:val="superscript"/>
        </w:rPr>
        <w:t xml:space="preserve"> </w:t>
      </w:r>
    </w:p>
    <w:p w14:paraId="2D9ED992"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 состанокот на Советот за надворешни работи во мај 2022 година, министрите за надворешни работи на ЕУ првпат одржаа неформална размена на ставови со колегите од Западен Балкан. </w:t>
      </w:r>
      <w:r w:rsidRPr="00C9671E">
        <w:rPr>
          <w:rFonts w:ascii="Times New Roman" w:hAnsi="Times New Roman" w:cs="Times New Roman"/>
          <w:b/>
          <w:sz w:val="24"/>
          <w:szCs w:val="24"/>
        </w:rPr>
        <w:t>Средбата на лидерите на ЕУ и на Западен Балкан на 23 јуни 2022</w:t>
      </w:r>
      <w:r w:rsidRPr="00C9671E">
        <w:rPr>
          <w:rFonts w:ascii="Times New Roman" w:hAnsi="Times New Roman" w:cs="Times New Roman"/>
          <w:sz w:val="24"/>
          <w:szCs w:val="24"/>
        </w:rPr>
        <w:t xml:space="preserve"> година ја реафирмира перспективата за ЕУ на партнерите во регионот и даде поттик за интензивирање на агендата за соработка и интеграција. Посебен фокус беше ставен на интеграцијата на Западен Балкан во мерките на ЕУ за намалување на негативното влијание на агресијата на Русија врз Украина од аспект на снабдување со храна и енергија и независност, како и поддршка на изградбата на капацитети за сајбер безбедност и на социјалната агенда, особено за вклучување на младите во економијата. Состанокот беше можност и подетално да се дискутира за политичката соработка, вклучително и за усогласувањето на Западен Балкан со позициите на ЕУ и рестриктивните мерки во надворешната политика.</w:t>
      </w:r>
    </w:p>
    <w:p w14:paraId="420D737B"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На </w:t>
      </w:r>
      <w:r w:rsidRPr="00C9671E">
        <w:rPr>
          <w:rFonts w:ascii="Times New Roman" w:hAnsi="Times New Roman" w:cs="Times New Roman"/>
          <w:b/>
          <w:sz w:val="24"/>
          <w:szCs w:val="24"/>
        </w:rPr>
        <w:t>Самитот ЕУ-Западен Балкан во Брдо</w:t>
      </w:r>
      <w:r w:rsidRPr="00C9671E">
        <w:rPr>
          <w:rFonts w:ascii="Times New Roman" w:hAnsi="Times New Roman" w:cs="Times New Roman"/>
          <w:sz w:val="24"/>
          <w:szCs w:val="24"/>
        </w:rPr>
        <w:t xml:space="preserve"> </w:t>
      </w:r>
      <w:r w:rsidRPr="00C9671E">
        <w:rPr>
          <w:rFonts w:ascii="Times New Roman" w:hAnsi="Times New Roman" w:cs="Times New Roman"/>
          <w:b/>
          <w:sz w:val="24"/>
          <w:szCs w:val="24"/>
        </w:rPr>
        <w:t>кај Крањ</w:t>
      </w:r>
      <w:r w:rsidRPr="00C9671E">
        <w:rPr>
          <w:rFonts w:ascii="Times New Roman" w:hAnsi="Times New Roman" w:cs="Times New Roman"/>
          <w:sz w:val="24"/>
          <w:szCs w:val="24"/>
        </w:rPr>
        <w:t xml:space="preserve"> во октомври 2021 година, шестмина лидери од Западен Балкан ја реафирмираа својата посветеност на инклузивна регионална соработка, зајакнување на добрососедските односи и вложување порешителни напори во воспоставување заеднички регионален пазар. На Самитот беа најавени серија конкретни резултати од кои полза треба да има Западен Балкан, вклучително и првата серија активности според Економско-инвестицискиот план; ветувањето за зголемување на стапките на вакцинирање против КОВИД-19, патот кон пониски трошоци за роаминг; агенда за иновации за Западен Балкан; зелени ленти за намалување на времето на чекање на границите и акциски планови за Транспортната заедница во однос на паметната транспортна и одржлива поврзаност.</w:t>
      </w:r>
    </w:p>
    <w:p w14:paraId="19140D6D" w14:textId="35449253"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bookmarkStart w:id="122" w:name="_Hlk113793798"/>
      <w:r w:rsidRPr="00C9671E">
        <w:rPr>
          <w:rFonts w:ascii="Times New Roman" w:hAnsi="Times New Roman" w:cs="Times New Roman"/>
          <w:b/>
          <w:sz w:val="24"/>
          <w:szCs w:val="24"/>
        </w:rPr>
        <w:t>Заедничкиот регионален пазар</w:t>
      </w:r>
      <w:r w:rsidRPr="00C9671E">
        <w:rPr>
          <w:rFonts w:ascii="Times New Roman" w:hAnsi="Times New Roman" w:cs="Times New Roman"/>
          <w:sz w:val="24"/>
          <w:szCs w:val="24"/>
        </w:rPr>
        <w:t xml:space="preserve">, како што е договорен од лидерите на Западен Балкан на Самитот на Берлинскиот процес во Софија во 2020 година, е од клучно значење за зголемувањето на привлечноста и конкурентноста на регионот. Тој ќе ѝ помогне на Северна Македонија да го забрза закрепнувањето по пандемијата, особено да привлече инвеститори што бараат диверзификација на снабдувањето и пократки синџири на вредност, како и да ги зголеми придобивките од инфраструктурните инвестиции според Економскиот и инвестицискиот план. Сѐ уште се блокирани определен број важни одлуки за олеснување на движењето на работниците. Важно е сите страни да играат </w:t>
      </w:r>
      <w:r w:rsidRPr="00C9671E">
        <w:rPr>
          <w:rFonts w:ascii="Times New Roman" w:hAnsi="Times New Roman" w:cs="Times New Roman"/>
          <w:sz w:val="24"/>
          <w:szCs w:val="24"/>
        </w:rPr>
        <w:lastRenderedPageBreak/>
        <w:t xml:space="preserve">конструктивна улога во изградбата на Заедничкиот регионален пазар и да ги исполнат своите заеднички обврски утврдени во акцискиот план за него. Албанија, Северна Македонија и Србија се обидуваат да ја продлабочат регионалната соработка во повеќе области, особено во економската интеграција преку иницијативата Отворен Балкан (ИОБ), </w:t>
      </w:r>
      <w:r w:rsidRPr="00C9671E">
        <w:rPr>
          <w:rFonts w:ascii="Times New Roman" w:hAnsi="Times New Roman" w:cs="Times New Roman"/>
          <w:i/>
          <w:sz w:val="24"/>
          <w:szCs w:val="24"/>
        </w:rPr>
        <w:t>де факто</w:t>
      </w:r>
      <w:r w:rsidRPr="00C9671E">
        <w:rPr>
          <w:rFonts w:ascii="Times New Roman" w:hAnsi="Times New Roman" w:cs="Times New Roman"/>
          <w:sz w:val="24"/>
          <w:szCs w:val="24"/>
        </w:rPr>
        <w:t xml:space="preserve"> спроведувајќи некои елементи од Заедничкиот регионален пазар за кои сѐ уште не е постигната формална спогодба меѓу страните. Во извештајниот период одржани се четири самити на ИОБ. </w:t>
      </w:r>
    </w:p>
    <w:bookmarkEnd w:id="122"/>
    <w:p w14:paraId="3153DCF9" w14:textId="1468EDFE"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октомври 2021 година Северна Македонија, заедно со партнерите од Западен Балкан, го одобри акцискиот план за </w:t>
      </w:r>
      <w:r w:rsidRPr="00C9671E">
        <w:rPr>
          <w:rFonts w:ascii="Times New Roman" w:hAnsi="Times New Roman" w:cs="Times New Roman"/>
          <w:b/>
          <w:sz w:val="24"/>
          <w:szCs w:val="24"/>
        </w:rPr>
        <w:t>Зелената агенда за Западен Балкан</w:t>
      </w:r>
      <w:r w:rsidRPr="00C9671E">
        <w:rPr>
          <w:rFonts w:ascii="Times New Roman" w:hAnsi="Times New Roman" w:cs="Times New Roman"/>
          <w:sz w:val="24"/>
          <w:szCs w:val="24"/>
        </w:rPr>
        <w:t>, чија цел е да го отслика Европскиот зелен договор и да придонесе кон одржлив социоекономски развој и зелено закрепнување на регионот по пандемијата. Северна Македонија треба да придонесе за успешно спроведување на оваа заедничка регионална визија, со високо ниво на амбиција, ставајќи ги одржливиот развој, ефикасноста на ресурсите, заштитата на природата и климатската акција во средиштето на сите економски активности.</w:t>
      </w:r>
    </w:p>
    <w:p w14:paraId="79511625"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јуни 2022 година, во рамките на Преспанскиот форум за дијалог, беше одржан вториот состанок за иднината на Западен Балкан во современата безбедносна архитектура, вклучително и со учесници од регионалните заинтересирани страни. Цел на форумот е унапредување на дијалогот, регионалната соработка и добрососедските односи. </w:t>
      </w:r>
    </w:p>
    <w:p w14:paraId="36CB738A"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главно, одржува добри </w:t>
      </w:r>
      <w:r w:rsidRPr="00C9671E">
        <w:rPr>
          <w:rFonts w:ascii="Times New Roman" w:hAnsi="Times New Roman" w:cs="Times New Roman"/>
          <w:b/>
          <w:sz w:val="24"/>
          <w:szCs w:val="24"/>
        </w:rPr>
        <w:t>билатерални односи</w:t>
      </w:r>
      <w:r w:rsidRPr="00C9671E">
        <w:rPr>
          <w:rFonts w:ascii="Times New Roman" w:hAnsi="Times New Roman" w:cs="Times New Roman"/>
          <w:sz w:val="24"/>
          <w:szCs w:val="24"/>
        </w:rPr>
        <w:t xml:space="preserve"> со другите земји вклучени во процесот на проширување и соседните земји членки на ЕУ. </w:t>
      </w:r>
    </w:p>
    <w:bookmarkEnd w:id="121"/>
    <w:p w14:paraId="361C56C4" w14:textId="252BD8F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Билатералните односи со </w:t>
      </w:r>
      <w:r w:rsidRPr="00C9671E">
        <w:rPr>
          <w:rFonts w:ascii="Times New Roman" w:hAnsi="Times New Roman" w:cs="Times New Roman"/>
          <w:i/>
          <w:sz w:val="24"/>
          <w:szCs w:val="24"/>
        </w:rPr>
        <w:t>Албанија</w:t>
      </w:r>
      <w:r w:rsidRPr="00C9671E">
        <w:rPr>
          <w:rFonts w:ascii="Times New Roman" w:hAnsi="Times New Roman" w:cs="Times New Roman"/>
          <w:sz w:val="24"/>
          <w:szCs w:val="24"/>
        </w:rPr>
        <w:t xml:space="preserve"> остануваат добри, вклучително и со чести посети на високо ниво од двете страни. </w:t>
      </w:r>
      <w:bookmarkStart w:id="123" w:name="_Hlk106654002"/>
      <w:r w:rsidRPr="00C9671E">
        <w:rPr>
          <w:rFonts w:ascii="Times New Roman" w:hAnsi="Times New Roman" w:cs="Times New Roman"/>
          <w:sz w:val="24"/>
          <w:szCs w:val="24"/>
        </w:rPr>
        <w:t>Потпишана е спогодба меѓу Владата на Северна Македонија и Советот на министрите на Албанија за меѓусебно признавање на одобренијата за Овластен економски оператор за безбедност и сигурност (ОЕОС)</w:t>
      </w:r>
      <w:bookmarkEnd w:id="123"/>
      <w:r w:rsidRPr="00C9671E">
        <w:rPr>
          <w:rFonts w:ascii="Times New Roman" w:hAnsi="Times New Roman" w:cs="Times New Roman"/>
          <w:sz w:val="24"/>
          <w:szCs w:val="24"/>
        </w:rPr>
        <w:t>. Во февруари 2022 година беа отворени нови гранични премини меѓу Албанија и Северна Македонија.</w:t>
      </w:r>
    </w:p>
    <w:p w14:paraId="78396AAD"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Билатералните односи со </w:t>
      </w:r>
      <w:r w:rsidRPr="00C9671E">
        <w:rPr>
          <w:rFonts w:ascii="Times New Roman" w:hAnsi="Times New Roman" w:cs="Times New Roman"/>
          <w:b/>
          <w:i/>
          <w:sz w:val="24"/>
          <w:szCs w:val="24"/>
        </w:rPr>
        <w:t>Босна и Херцеговина</w:t>
      </w:r>
      <w:r w:rsidRPr="00C9671E">
        <w:rPr>
          <w:rFonts w:ascii="Times New Roman" w:hAnsi="Times New Roman" w:cs="Times New Roman"/>
          <w:sz w:val="24"/>
          <w:szCs w:val="24"/>
        </w:rPr>
        <w:t xml:space="preserve"> и понатаму се подобруваат во однос на развојот и соработката. Министерот за надворешни работи се сретна со заменичката на претседателот на Советот на министрите на Босна и Херцеговина на маргините на состанокот на министрите за надворешни работи од Западен Балкан во Лондон, во декември 2021 година. Премиерот се сретна со претседателот на Советот на министрите на Босна и Херцеговина на маргините на Инвестицискиот самит за Западен Балкан. </w:t>
      </w:r>
    </w:p>
    <w:p w14:paraId="4DBE6802" w14:textId="23CDF5CB"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Билатералната соработка со </w:t>
      </w:r>
      <w:r w:rsidRPr="00C9671E">
        <w:rPr>
          <w:rFonts w:ascii="Times New Roman" w:hAnsi="Times New Roman" w:cs="Times New Roman"/>
          <w:b/>
          <w:i/>
          <w:sz w:val="24"/>
          <w:szCs w:val="24"/>
        </w:rPr>
        <w:t>Косово</w:t>
      </w:r>
      <w:r w:rsidRPr="00C9671E">
        <w:rPr>
          <w:rFonts w:ascii="Times New Roman" w:hAnsi="Times New Roman" w:cs="Times New Roman"/>
          <w:sz w:val="24"/>
          <w:szCs w:val="24"/>
        </w:rPr>
        <w:t xml:space="preserve"> е многу добра и беа одржани неколку средби на највисоко ниво. Претседателот на Собранието беше во службена посета на Собранието на Косово во март 2022 година. Претседателот на Северна Македонија ги посети Регионалната команда - Запад на КФОР и припадниците на контингентот од Северна Македонија. </w:t>
      </w:r>
    </w:p>
    <w:p w14:paraId="1CA8E3A1" w14:textId="2F5B41A4"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Билатералните односи со </w:t>
      </w:r>
      <w:r w:rsidRPr="00C9671E">
        <w:rPr>
          <w:rFonts w:ascii="Times New Roman" w:hAnsi="Times New Roman" w:cs="Times New Roman"/>
          <w:b/>
          <w:i/>
          <w:sz w:val="24"/>
          <w:szCs w:val="24"/>
        </w:rPr>
        <w:t>Црна Гора</w:t>
      </w:r>
      <w:r w:rsidRPr="00C9671E">
        <w:rPr>
          <w:rFonts w:ascii="Times New Roman" w:hAnsi="Times New Roman" w:cs="Times New Roman"/>
          <w:sz w:val="24"/>
          <w:szCs w:val="24"/>
        </w:rPr>
        <w:t xml:space="preserve"> остануваат добри. Министрите за информатичко општество и администрација и за образование и наука учествуваа на четвртиот Дигитален самит на земјите од Западен Балкан, одржан во Подгорица во октомври 2021 година. Заменикот на претседателот на Владата за европски прашања учествуваше на Балканскиот интеграциски форум 2021 што се одржа во Подгорица. Претседателот на Северна Македонија беше во службена посета на Црна Гора во април 2022 година.</w:t>
      </w:r>
    </w:p>
    <w:p w14:paraId="1631553B" w14:textId="5AF202B3"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Има подобрување во билатералната соработка со </w:t>
      </w:r>
      <w:r w:rsidRPr="00C9671E">
        <w:rPr>
          <w:rFonts w:ascii="Times New Roman" w:hAnsi="Times New Roman" w:cs="Times New Roman"/>
          <w:b/>
          <w:i/>
          <w:sz w:val="24"/>
          <w:szCs w:val="24"/>
        </w:rPr>
        <w:t>Србија</w:t>
      </w:r>
      <w:r w:rsidRPr="00C9671E">
        <w:rPr>
          <w:rFonts w:ascii="Times New Roman" w:hAnsi="Times New Roman" w:cs="Times New Roman"/>
          <w:sz w:val="24"/>
          <w:szCs w:val="24"/>
        </w:rPr>
        <w:t xml:space="preserve">. Во извештајниот период беа одржани две средби помеѓу министрите за надворешни работи. Во февруари 2022 </w:t>
      </w:r>
      <w:r w:rsidRPr="00C9671E">
        <w:rPr>
          <w:rFonts w:ascii="Times New Roman" w:hAnsi="Times New Roman" w:cs="Times New Roman"/>
          <w:sz w:val="24"/>
          <w:szCs w:val="24"/>
        </w:rPr>
        <w:lastRenderedPageBreak/>
        <w:t xml:space="preserve">година беше потпишана Спогодбата за воспоставување културно-информативни центри во Скопје и во Белград. Во февруари 2022 година беше одржан првиот состанок на Комитетот за национални малцинства. Премиерот на Србија ја посети Северна Македонија во мај 2022 година. </w:t>
      </w:r>
    </w:p>
    <w:p w14:paraId="7D9F85AE" w14:textId="115E69DE"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извештајниот период земјата заврши неколку активности со </w:t>
      </w:r>
      <w:r w:rsidRPr="00C9671E">
        <w:rPr>
          <w:rFonts w:ascii="Times New Roman" w:hAnsi="Times New Roman" w:cs="Times New Roman"/>
          <w:b/>
          <w:i/>
          <w:sz w:val="24"/>
          <w:szCs w:val="24"/>
        </w:rPr>
        <w:t>Турција</w:t>
      </w:r>
      <w:r w:rsidRPr="00C9671E">
        <w:rPr>
          <w:rFonts w:ascii="Times New Roman" w:hAnsi="Times New Roman" w:cs="Times New Roman"/>
          <w:sz w:val="24"/>
          <w:szCs w:val="24"/>
        </w:rPr>
        <w:t xml:space="preserve">. Претседателот на Големото национално собрание на Турција двапати го посети Скопје и имаше средби со раководството на земјата. Градоначалничката на Скопје учествуваше на Самитот на градоначалници од Балканот во Истанбул, каде што потпиша Декларација за соработка на градови од Балканот. Во текот на посетата беше потпишан Меморандум за разбирање помеѓу Академијата на судии и јавни обвинители и Правосудната академија на Турција. Во Анкара беше потпишан Меморандум за соработка помеѓу Дирекцијата за заштита и спасување на Северна Македонија и Агенцијата за управување со катастрофи и итни ситуации при Министерството за внатрешни работи на Турција. Меморандумите за разбирање и соработка во областите на шумарството и водите и Спогодбата меѓу владите за соработка во областа на ветеринарната политика и безбедноста на храна влегоа во сила на почетокот од 2022 година. </w:t>
      </w:r>
    </w:p>
    <w:p w14:paraId="6BD86ED3" w14:textId="3169037C" w:rsidR="00A50BBD" w:rsidRPr="00C9671E" w:rsidRDefault="00A50BBD" w:rsidP="006E4EB0">
      <w:pPr>
        <w:spacing w:after="120" w:line="240" w:lineRule="auto"/>
        <w:jc w:val="both"/>
        <w:rPr>
          <w:rFonts w:ascii="Times New Roman" w:hAnsi="Times New Roman" w:cs="Times New Roman"/>
          <w:sz w:val="24"/>
          <w:szCs w:val="24"/>
        </w:rPr>
      </w:pPr>
      <w:bookmarkStart w:id="124" w:name="_Hlk114929218"/>
      <w:r w:rsidRPr="00C9671E">
        <w:rPr>
          <w:rFonts w:ascii="Times New Roman" w:hAnsi="Times New Roman" w:cs="Times New Roman"/>
          <w:sz w:val="24"/>
          <w:szCs w:val="24"/>
        </w:rPr>
        <w:t xml:space="preserve">Во извештајниот период односите со </w:t>
      </w:r>
      <w:r w:rsidRPr="00C9671E">
        <w:rPr>
          <w:rFonts w:ascii="Times New Roman" w:hAnsi="Times New Roman" w:cs="Times New Roman"/>
          <w:b/>
          <w:i/>
          <w:sz w:val="24"/>
          <w:szCs w:val="24"/>
        </w:rPr>
        <w:t>Бугарија</w:t>
      </w:r>
      <w:r w:rsidRPr="00C9671E">
        <w:rPr>
          <w:rFonts w:ascii="Times New Roman" w:hAnsi="Times New Roman" w:cs="Times New Roman"/>
          <w:sz w:val="24"/>
          <w:szCs w:val="24"/>
        </w:rPr>
        <w:t xml:space="preserve"> беа фокусирани на надминувањето на нерешените билатерални прашања, со што се отвори патот за почеток на процесот на преговори за пристапување во ЕУ. Билатералните договори се интензивираа, вклучително и преку неколку посети и состаноци на високо ниво. Двајцата премиери се сретнаа во Софија по трагичната сообраќајна несреќа на автобус во Бугарија, во ноември 2021 година. Во јануари 2022 година во Софија беше одржана заедничка седница помеѓу двете влади, во текот на која беа формирани работни групи, со фокус на економијата, трговијата и иновациите; инфраструктурата, транспортот и поврзаноста; европските интеграции и зелените политики; културата, науката и образованието; и дополнителна работна група за други билатерални прашања. Редовните средби на работните групи доведоа до потпишување на неколку документи за соработка, вклучително и во земјоделството, транспортот, претприемништвото, образованието, младите и спортот, како и туризмот. </w:t>
      </w:r>
      <w:r>
        <w:rPr>
          <w:rFonts w:ascii="Times New Roman" w:hAnsi="Times New Roman" w:cs="Times New Roman"/>
          <w:sz w:val="24"/>
          <w:szCs w:val="24"/>
        </w:rPr>
        <w:t>Се потпиша</w:t>
      </w:r>
      <w:r w:rsidRPr="00C9671E">
        <w:rPr>
          <w:rFonts w:ascii="Times New Roman" w:hAnsi="Times New Roman" w:cs="Times New Roman"/>
          <w:sz w:val="24"/>
          <w:szCs w:val="24"/>
        </w:rPr>
        <w:t xml:space="preserve"> и декларација за намалување на тарифите за роаминг помеѓу двете земји. Во мај 2022 година уставните судови на двете земји одржаа состанок во Скопје и потпишаа меморандум за соработка. Мултидисциплинарната експертска комисија за историски и образовни прашања одржа неколку состаноци во извештајниот период. Во јули 2022 година беше одржан втори</w:t>
      </w:r>
      <w:r w:rsidR="0008150C">
        <w:rPr>
          <w:rFonts w:ascii="Times New Roman" w:hAnsi="Times New Roman" w:cs="Times New Roman"/>
          <w:sz w:val="24"/>
          <w:szCs w:val="24"/>
        </w:rPr>
        <w:t>от состанок на Заедничката меѓу</w:t>
      </w:r>
      <w:r w:rsidRPr="00C9671E">
        <w:rPr>
          <w:rFonts w:ascii="Times New Roman" w:hAnsi="Times New Roman" w:cs="Times New Roman"/>
          <w:sz w:val="24"/>
          <w:szCs w:val="24"/>
        </w:rPr>
        <w:t>владина комисија. Во јули 2022 година беше потпишан билатерален протокол од</w:t>
      </w:r>
      <w:r w:rsidR="0008150C">
        <w:rPr>
          <w:rFonts w:ascii="Times New Roman" w:hAnsi="Times New Roman" w:cs="Times New Roman"/>
          <w:sz w:val="24"/>
          <w:szCs w:val="24"/>
        </w:rPr>
        <w:t xml:space="preserve"> состанокот на Заедничката меѓу</w:t>
      </w:r>
      <w:r w:rsidRPr="00C9671E">
        <w:rPr>
          <w:rFonts w:ascii="Times New Roman" w:hAnsi="Times New Roman" w:cs="Times New Roman"/>
          <w:sz w:val="24"/>
          <w:szCs w:val="24"/>
        </w:rPr>
        <w:t>владина комисија, воспоставена во согласност со член 12 од Договорот за пријателство, добрососедство и соработка.</w:t>
      </w:r>
    </w:p>
    <w:bookmarkEnd w:id="124"/>
    <w:p w14:paraId="6920965A"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Соработката со </w:t>
      </w:r>
      <w:r w:rsidRPr="00C9671E">
        <w:rPr>
          <w:rFonts w:ascii="Times New Roman" w:hAnsi="Times New Roman" w:cs="Times New Roman"/>
          <w:b/>
          <w:i/>
          <w:sz w:val="24"/>
          <w:szCs w:val="24"/>
        </w:rPr>
        <w:t>Грција</w:t>
      </w:r>
      <w:r w:rsidRPr="00C9671E">
        <w:rPr>
          <w:rFonts w:ascii="Times New Roman" w:hAnsi="Times New Roman" w:cs="Times New Roman"/>
          <w:sz w:val="24"/>
          <w:szCs w:val="24"/>
        </w:rPr>
        <w:t xml:space="preserve"> е интензивирана во областите од заемен интерес. Беа формирани работни и експертски групи заради исполнувањето на обврските на Договорот од Преспа. Во октомври 2021 година претседателот на државата беше во својата прва службена посета на Грција, каде што се сретна со високи функционери на Грција. Министерот за надворешни работи се сретна со заменик-министерот за европски прашања на Грција по Самитот ЕУ-Западен Балкан. Во Атина беше одржан седмиот состанок на заедничката експертска комисија за археолошки, историски и образовни прашања. Во мај 2022 година премиерот присуствуваше на свеченоста за одбележување на почетокот на изградба на терминал за течен природен гас во грчкиот град Александрополис, заедно со премиерите на Грција и Бугарија и претседателот на </w:t>
      </w:r>
      <w:r w:rsidRPr="00C9671E">
        <w:rPr>
          <w:rFonts w:ascii="Times New Roman" w:hAnsi="Times New Roman" w:cs="Times New Roman"/>
          <w:sz w:val="24"/>
          <w:szCs w:val="24"/>
        </w:rPr>
        <w:lastRenderedPageBreak/>
        <w:t>Србија. Во јуни 2022 година министерот за надворешни работи на Грција го посети Охрид за да учествува на Преспанскиот форум за дијалог.</w:t>
      </w:r>
    </w:p>
    <w:p w14:paraId="2234E4B9" w14:textId="77777777" w:rsidR="00A50BBD" w:rsidRPr="00C9671E" w:rsidRDefault="00A50BBD" w:rsidP="006E4EB0">
      <w:pPr>
        <w:pStyle w:val="Heading1"/>
        <w:rPr>
          <w:rStyle w:val="Heading2Char"/>
          <w:b/>
          <w:bCs w:val="0"/>
          <w:smallCaps w:val="0"/>
        </w:rPr>
      </w:pPr>
      <w:bookmarkStart w:id="125" w:name="_Toc115364530"/>
      <w:bookmarkStart w:id="126" w:name="_Toc115619790"/>
      <w:bookmarkStart w:id="127" w:name="_Toc117004161"/>
      <w:r w:rsidRPr="00C9671E">
        <w:rPr>
          <w:rStyle w:val="Heading2Char"/>
        </w:rPr>
        <w:t>4.</w:t>
      </w:r>
      <w:r w:rsidRPr="00C9671E">
        <w:rPr>
          <w:rStyle w:val="Heading2Char"/>
        </w:rPr>
        <w:tab/>
        <w:t>Способност за преземање на одговорностите на членството</w:t>
      </w:r>
      <w:bookmarkEnd w:id="125"/>
      <w:bookmarkEnd w:id="126"/>
      <w:bookmarkEnd w:id="127"/>
      <w:r w:rsidRPr="00C9671E">
        <w:rPr>
          <w:rStyle w:val="Heading2Char"/>
        </w:rPr>
        <w:t xml:space="preserve"> </w:t>
      </w:r>
    </w:p>
    <w:p w14:paraId="62374181" w14:textId="77777777" w:rsidR="00A50BBD" w:rsidRPr="00C9671E" w:rsidRDefault="00A50BBD" w:rsidP="006E4EB0">
      <w:pPr>
        <w:pStyle w:val="Heading2"/>
        <w:rPr>
          <w:rFonts w:eastAsia="Calibri"/>
        </w:rPr>
      </w:pPr>
      <w:bookmarkStart w:id="128" w:name="_Toc84631581"/>
      <w:bookmarkStart w:id="129" w:name="_Toc84329779"/>
      <w:bookmarkStart w:id="130" w:name="_Toc115619791"/>
      <w:bookmarkStart w:id="131" w:name="_Toc117004162"/>
      <w:r w:rsidRPr="00C9671E">
        <w:t>Кластер 2: Внатрешен пазар</w:t>
      </w:r>
      <w:bookmarkEnd w:id="128"/>
      <w:bookmarkEnd w:id="129"/>
      <w:bookmarkEnd w:id="130"/>
      <w:bookmarkEnd w:id="131"/>
      <w:r w:rsidRPr="00C9671E">
        <w:t xml:space="preserve"> </w:t>
      </w:r>
    </w:p>
    <w:p w14:paraId="7CD8E9D2" w14:textId="0C0CC49D"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Кластерот внатрешен пазар опфаќа: слободно движење на стоки (Поглавје 1); слободно движење на работници (Поглавје 2); право на основање и слобода на давање услуги (Поглавје 3); слободно движење на капитал (Поглавје 4); право на трговски друштва (Поглавје 6); закон за интелектуална сопственост (Поглавје 7); политика за конкуренција (Поглавје 8); финансиски услуги (Поглавје 9); и заштита на потрошувачи и здравствена заштита (Поглавје 28).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е умерено подготвена во повеќето области опфатени со Кластерот 2 за внатрешниот пазар, имено за слободно движење на стоки, услуги и капитал, интелектуална сопственост, политика на конкуренција, финансиски услуги и заштита на потрошувачите и здравствена заштита. Земјата постигнала добро ниво на подготвеност во однос на правото на трговски друштва, иако сѐ уште е во рана фаза на слободата на движење за работниците. Во извештајниот период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постигна добар напредок во однос на слободното движење на капиталот и одреден напредок во однос на правото на трговски друштва и финансиските услуги. Не е постигнат напредок во однос на политиката на конкуренција. Севкупно, во наредната година е потребен поголем напредок во областите опфатени со овој кластер бидејќи тоа ќе придонесе кон подготовките на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за исполнување на барањата на внатрешниот пазар на ЕУ. Работата на овој кластер е многу важна за развојот на Заедничкиот регионален пазар. </w:t>
      </w:r>
    </w:p>
    <w:p w14:paraId="288F1613" w14:textId="77777777" w:rsidR="00A50BBD" w:rsidRPr="00C9671E" w:rsidRDefault="00A50BBD" w:rsidP="006E4EB0">
      <w:pPr>
        <w:pStyle w:val="Heading3"/>
        <w:spacing w:before="0"/>
      </w:pPr>
      <w:bookmarkStart w:id="132" w:name="_Toc84631582"/>
      <w:bookmarkStart w:id="133" w:name="_Toc84329780"/>
      <w:bookmarkStart w:id="134" w:name="_Toc115619792"/>
      <w:bookmarkStart w:id="135" w:name="_Toc117004163"/>
      <w:r w:rsidRPr="00C9671E">
        <w:t>Поглавје 1: Слободно движење на стоки</w:t>
      </w:r>
      <w:bookmarkEnd w:id="132"/>
      <w:bookmarkEnd w:id="133"/>
      <w:bookmarkEnd w:id="134"/>
      <w:bookmarkEnd w:id="135"/>
      <w:r w:rsidRPr="00C9671E">
        <w:t xml:space="preserve"> </w:t>
      </w:r>
    </w:p>
    <w:p w14:paraId="144EA940"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iCs/>
          <w:sz w:val="24"/>
          <w:szCs w:val="24"/>
        </w:rPr>
        <w:t xml:space="preserve">Слободното движење на стоки овозможува слободно тргување со многу производи во рамките на ЕУ, врз основа на заеднички правила и процедури. Доколку производите се регулирани со национални правила, начелото на слободно движење на стоки спречува тие да создадат неоправдани пречки во трговијата.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62"/>
      </w:tblGrid>
      <w:tr w:rsidR="00A50BBD" w:rsidRPr="00C9671E" w14:paraId="3DB7A6DB" w14:textId="77777777" w:rsidTr="006E4EB0">
        <w:tc>
          <w:tcPr>
            <w:tcW w:w="9288" w:type="dxa"/>
            <w:tcBorders>
              <w:top w:val="single" w:sz="4" w:space="0" w:color="auto"/>
              <w:left w:val="single" w:sz="4" w:space="0" w:color="auto"/>
              <w:bottom w:val="single" w:sz="4" w:space="0" w:color="auto"/>
              <w:right w:val="single" w:sz="4" w:space="0" w:color="auto"/>
            </w:tcBorders>
            <w:shd w:val="clear" w:color="auto" w:fill="D9D9D9"/>
            <w:hideMark/>
          </w:tcPr>
          <w:p w14:paraId="28BFC7A1" w14:textId="60DF6392"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областа на слободното движење на стоки. Иако дел од националното законодавство во оваа област овозможува слободно тргување со производи, треба да се осигури усогласување во повеќе области, не само каде што во последните години е ажурирано правото на ЕУ. </w:t>
            </w:r>
            <w:r w:rsidRPr="00C9671E">
              <w:rPr>
                <w:rFonts w:ascii="Times New Roman" w:hAnsi="Times New Roman" w:cs="Times New Roman"/>
                <w:b/>
                <w:sz w:val="24"/>
                <w:szCs w:val="24"/>
              </w:rPr>
              <w:t>Не е постигнат напредок</w:t>
            </w:r>
            <w:r w:rsidRPr="00C9671E">
              <w:rPr>
                <w:rFonts w:ascii="Times New Roman" w:hAnsi="Times New Roman" w:cs="Times New Roman"/>
                <w:sz w:val="24"/>
                <w:szCs w:val="24"/>
              </w:rPr>
              <w:t xml:space="preserve"> во спроведувањето на препораките од минатата година. </w:t>
            </w:r>
          </w:p>
          <w:p w14:paraId="605A3AFC"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Не е постапено по препораките од минатата година и тие остануваат важечки. Во наредната година земјата особено треба: </w:t>
            </w:r>
          </w:p>
          <w:p w14:paraId="0095CB0A" w14:textId="77777777" w:rsidR="00A50BBD" w:rsidRPr="00C9671E" w:rsidRDefault="00A50BBD" w:rsidP="006E4EB0">
            <w:pPr>
              <w:numPr>
                <w:ilvl w:val="0"/>
                <w:numId w:val="38"/>
              </w:numPr>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 xml:space="preserve">да изврши усогласување со Директивата на ЕУ за општа безбедност на производите; </w:t>
            </w:r>
          </w:p>
          <w:p w14:paraId="0D9AEAEB" w14:textId="77777777" w:rsidR="00A50BBD" w:rsidRPr="00C9671E" w:rsidRDefault="00A50BBD" w:rsidP="006E4EB0">
            <w:pPr>
              <w:numPr>
                <w:ilvl w:val="0"/>
                <w:numId w:val="38"/>
              </w:numPr>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изврши сеопфатна проверка за да обезбеди усогласеност со членовите 34-36 од Договорот за функционирање на Европската Унија;</w:t>
            </w:r>
          </w:p>
          <w:p w14:paraId="0B32FA44" w14:textId="77777777" w:rsidR="00A50BBD" w:rsidRPr="00C9671E" w:rsidRDefault="00A50BBD" w:rsidP="006E4EB0">
            <w:pPr>
              <w:numPr>
                <w:ilvl w:val="0"/>
                <w:numId w:val="38"/>
              </w:numPr>
              <w:autoSpaceDE w:val="0"/>
              <w:autoSpaceDN w:val="0"/>
              <w:adjustRightInd w:val="0"/>
              <w:spacing w:after="120" w:line="240" w:lineRule="auto"/>
              <w:ind w:left="426" w:hanging="426"/>
              <w:jc w:val="both"/>
              <w:rPr>
                <w:rFonts w:ascii="Times New Roman" w:hAnsi="Times New Roman" w:cs="Times New Roman"/>
                <w:iCs/>
                <w:sz w:val="24"/>
                <w:szCs w:val="24"/>
              </w:rPr>
            </w:pPr>
            <w:r w:rsidRPr="00C9671E">
              <w:rPr>
                <w:rFonts w:ascii="Times New Roman" w:hAnsi="Times New Roman" w:cs="Times New Roman"/>
                <w:iCs/>
                <w:sz w:val="24"/>
                <w:szCs w:val="24"/>
              </w:rPr>
              <w:t>да го зајакне административниот капацитет заради спроведување на законската рамка.</w:t>
            </w:r>
          </w:p>
        </w:tc>
      </w:tr>
    </w:tbl>
    <w:p w14:paraId="4988FED4"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 xml:space="preserve">Општи начела </w:t>
      </w:r>
    </w:p>
    <w:p w14:paraId="27A4F651"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воспостави институционална рамка за </w:t>
      </w:r>
      <w:r w:rsidRPr="00C9671E">
        <w:rPr>
          <w:rFonts w:ascii="Times New Roman" w:hAnsi="Times New Roman" w:cs="Times New Roman"/>
          <w:b/>
          <w:sz w:val="24"/>
          <w:szCs w:val="24"/>
        </w:rPr>
        <w:t>производство, дистрибуција и ставање на пазарот на индустриски производи</w:t>
      </w:r>
      <w:r w:rsidRPr="00C9671E">
        <w:rPr>
          <w:rFonts w:ascii="Times New Roman" w:hAnsi="Times New Roman" w:cs="Times New Roman"/>
          <w:sz w:val="24"/>
          <w:szCs w:val="24"/>
        </w:rPr>
        <w:t xml:space="preserve">. Меѓутоа, сѐ уште не е постигнато целосно усогласување со релевантното право на ЕУ, со оглед дека сѐ уште не се донесени </w:t>
      </w:r>
      <w:r w:rsidRPr="00C9671E">
        <w:rPr>
          <w:rFonts w:ascii="Times New Roman" w:hAnsi="Times New Roman" w:cs="Times New Roman"/>
          <w:sz w:val="24"/>
          <w:szCs w:val="24"/>
        </w:rPr>
        <w:lastRenderedPageBreak/>
        <w:t xml:space="preserve">Законот за технички барања и подзаконските акти за спроведување на Законот за општа безбедност на производите. Започнато е со натамошно </w:t>
      </w:r>
      <w:r w:rsidRPr="00C9671E">
        <w:rPr>
          <w:rFonts w:ascii="Times New Roman" w:hAnsi="Times New Roman" w:cs="Times New Roman"/>
          <w:b/>
          <w:sz w:val="24"/>
          <w:szCs w:val="24"/>
        </w:rPr>
        <w:t>усогласување</w:t>
      </w:r>
      <w:r w:rsidRPr="00C9671E">
        <w:rPr>
          <w:rFonts w:ascii="Times New Roman" w:hAnsi="Times New Roman" w:cs="Times New Roman"/>
          <w:sz w:val="24"/>
          <w:szCs w:val="24"/>
        </w:rPr>
        <w:t xml:space="preserve"> на националното законодавство со правото на ЕУ.</w:t>
      </w:r>
    </w:p>
    <w:p w14:paraId="7E8A3918"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bCs/>
          <w:sz w:val="24"/>
          <w:szCs w:val="24"/>
          <w:u w:val="single"/>
        </w:rPr>
      </w:pPr>
      <w:r w:rsidRPr="00C9671E">
        <w:rPr>
          <w:rFonts w:ascii="Times New Roman" w:hAnsi="Times New Roman" w:cs="Times New Roman"/>
          <w:bCs/>
          <w:sz w:val="24"/>
          <w:szCs w:val="24"/>
          <w:u w:val="single"/>
        </w:rPr>
        <w:t>Неусогласена област</w:t>
      </w:r>
    </w:p>
    <w:p w14:paraId="17BD4C5A"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Министерството за економија обезбеди следење и спроведување на усогласеноста со </w:t>
      </w:r>
      <w:r w:rsidRPr="00705B41">
        <w:rPr>
          <w:rFonts w:ascii="Times New Roman" w:hAnsi="Times New Roman" w:cs="Times New Roman"/>
          <w:b/>
          <w:sz w:val="24"/>
          <w:szCs w:val="24"/>
        </w:rPr>
        <w:t>членовите 34-36</w:t>
      </w:r>
      <w:r w:rsidRPr="00C9671E">
        <w:rPr>
          <w:rFonts w:ascii="Times New Roman" w:hAnsi="Times New Roman" w:cs="Times New Roman"/>
          <w:sz w:val="24"/>
          <w:szCs w:val="24"/>
        </w:rPr>
        <w:t xml:space="preserve"> од Договорот за функционирање на Европската Унија (ДФЕУ). На почетокот на 2022 година e започната проверка на националната законска рамка, со цел да се утврдат случаите што не се усогласени со членовите 34-36 и да се утврди што да се прави за да се реши тоа.</w:t>
      </w:r>
    </w:p>
    <w:p w14:paraId="5426CB45"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Усогласена област: инфраструктура на квалитет</w:t>
      </w:r>
    </w:p>
    <w:p w14:paraId="6F510735"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Воспоставена е потребната институционална и правна структура за технички прописи, стандарди, процена на сообразноста, акредитација, метрологија и надзор на пазарот.</w:t>
      </w:r>
      <w:r w:rsidRPr="00C9671E">
        <w:rPr>
          <w:rFonts w:ascii="Times New Roman" w:hAnsi="Times New Roman" w:cs="Times New Roman"/>
          <w:i/>
          <w:sz w:val="24"/>
          <w:szCs w:val="24"/>
        </w:rPr>
        <w:t xml:space="preserve"> </w:t>
      </w:r>
      <w:r w:rsidRPr="00C9671E">
        <w:rPr>
          <w:rFonts w:ascii="Times New Roman" w:hAnsi="Times New Roman" w:cs="Times New Roman"/>
          <w:sz w:val="24"/>
          <w:szCs w:val="24"/>
        </w:rPr>
        <w:t xml:space="preserve">Потребно е да се донесе нова хоризонтална стратегија за развој во областа на слободното движење на стоки. Националниот институт за </w:t>
      </w:r>
      <w:r w:rsidRPr="00C9671E">
        <w:rPr>
          <w:rFonts w:ascii="Times New Roman" w:hAnsi="Times New Roman" w:cs="Times New Roman"/>
          <w:b/>
          <w:sz w:val="24"/>
          <w:szCs w:val="24"/>
        </w:rPr>
        <w:t>стандардизација</w:t>
      </w:r>
      <w:r w:rsidRPr="00C9671E">
        <w:rPr>
          <w:rFonts w:ascii="Times New Roman" w:hAnsi="Times New Roman" w:cs="Times New Roman"/>
          <w:sz w:val="24"/>
          <w:szCs w:val="24"/>
        </w:rPr>
        <w:t xml:space="preserve"> е полноправен член на Европскиот комитет за стандардизација (ЦЕН) и на Европскиот комитет за електротехничка стандардизација (ЦЕНЕЛЕК), а учествува и во работата на релевантни тела на ЕУ за стандардизација. Институтот донесе 24.761 европски стандарди како национални стандарди и 84 национални стандарди. Во својата работа ја следи Националната стратегија за стандардизација за периодот од 2020 до 2022 година. </w:t>
      </w:r>
    </w:p>
    <w:p w14:paraId="128E60BC"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јуни 2022 година</w:t>
      </w:r>
      <w:r>
        <w:rPr>
          <w:rFonts w:ascii="Times New Roman" w:hAnsi="Times New Roman" w:cs="Times New Roman"/>
          <w:sz w:val="24"/>
          <w:szCs w:val="24"/>
        </w:rPr>
        <w:t>,</w:t>
      </w:r>
      <w:r w:rsidRPr="00C9671E">
        <w:rPr>
          <w:rFonts w:ascii="Times New Roman" w:hAnsi="Times New Roman" w:cs="Times New Roman"/>
          <w:sz w:val="24"/>
          <w:szCs w:val="24"/>
        </w:rPr>
        <w:t xml:space="preserve"> имаше 19 активни тела за </w:t>
      </w:r>
      <w:r w:rsidRPr="00C9671E">
        <w:rPr>
          <w:rFonts w:ascii="Times New Roman" w:hAnsi="Times New Roman" w:cs="Times New Roman"/>
          <w:b/>
          <w:sz w:val="24"/>
          <w:szCs w:val="24"/>
        </w:rPr>
        <w:t>процена на сообразноста</w:t>
      </w:r>
      <w:r w:rsidRPr="00C9671E">
        <w:rPr>
          <w:rFonts w:ascii="Times New Roman" w:hAnsi="Times New Roman" w:cs="Times New Roman"/>
          <w:sz w:val="24"/>
          <w:szCs w:val="24"/>
        </w:rPr>
        <w:t xml:space="preserve"> за калибрација, тестирање, медицински лаборатории, сертификација и инспекција на производи и процеси. Националниот институт за </w:t>
      </w:r>
      <w:r w:rsidRPr="00C9671E">
        <w:rPr>
          <w:rFonts w:ascii="Times New Roman" w:hAnsi="Times New Roman" w:cs="Times New Roman"/>
          <w:b/>
          <w:sz w:val="24"/>
          <w:szCs w:val="24"/>
        </w:rPr>
        <w:t>акредитација</w:t>
      </w:r>
      <w:r w:rsidRPr="00C9671E">
        <w:rPr>
          <w:rFonts w:ascii="Times New Roman" w:hAnsi="Times New Roman" w:cs="Times New Roman"/>
          <w:sz w:val="24"/>
          <w:szCs w:val="24"/>
        </w:rPr>
        <w:t xml:space="preserve"> е член на Меѓународниот форум за акредитација, Европската соработка за акредитација и на Меѓународната соработка за лабораториска акредитација. Меѓутоа, сѐ уште не постојат национални програми за акредитација за сертифицирање персонал и за тестирање вештини.</w:t>
      </w:r>
    </w:p>
    <w:p w14:paraId="7B21D619"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Бирото за </w:t>
      </w:r>
      <w:r w:rsidRPr="00C9671E">
        <w:rPr>
          <w:rFonts w:ascii="Times New Roman" w:hAnsi="Times New Roman" w:cs="Times New Roman"/>
          <w:b/>
          <w:sz w:val="24"/>
          <w:szCs w:val="24"/>
        </w:rPr>
        <w:t>метрологија</w:t>
      </w:r>
      <w:r w:rsidRPr="00C9671E">
        <w:rPr>
          <w:rFonts w:ascii="Times New Roman" w:hAnsi="Times New Roman" w:cs="Times New Roman"/>
          <w:sz w:val="24"/>
          <w:szCs w:val="24"/>
        </w:rPr>
        <w:t>, национален орган за метрологија, е официјален член на Европската асоцијација на национални институти за метрологија и на Генералната конференција за тежини и мерки. Капацитетот на Бирото е зајакнат со нова техничка опрема за неколку лаборатории и со вработување нов технички персонал, посебно обучен за користење на наведената опрема.</w:t>
      </w:r>
    </w:p>
    <w:p w14:paraId="5C1F7A10"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текот на 2021 година Државниот пазарен инспекторат, главно тело одговорно за </w:t>
      </w:r>
      <w:r w:rsidRPr="00C9671E">
        <w:rPr>
          <w:rFonts w:ascii="Times New Roman" w:hAnsi="Times New Roman" w:cs="Times New Roman"/>
          <w:b/>
          <w:sz w:val="24"/>
          <w:szCs w:val="24"/>
        </w:rPr>
        <w:t>надзор на пазарот</w:t>
      </w:r>
      <w:r w:rsidRPr="00C9671E">
        <w:rPr>
          <w:rFonts w:ascii="Times New Roman" w:hAnsi="Times New Roman" w:cs="Times New Roman"/>
          <w:sz w:val="24"/>
          <w:szCs w:val="24"/>
        </w:rPr>
        <w:t xml:space="preserve">, посвети значаен дел од своите активности и инспекции на следење на спроведувањето на здравствено-заштитните мерки во однос на пандемијата на КОВИД-19. Сепак, зголемен е бројот на основни инспекциски активности. </w:t>
      </w:r>
      <w:r w:rsidRPr="00C9671E">
        <w:rPr>
          <w:rFonts w:ascii="Times New Roman" w:hAnsi="Times New Roman" w:cs="Times New Roman"/>
        </w:rPr>
        <w:t>Во</w:t>
      </w:r>
      <w:r w:rsidRPr="00C9671E">
        <w:rPr>
          <w:rFonts w:ascii="Times New Roman" w:hAnsi="Times New Roman" w:cs="Times New Roman"/>
          <w:sz w:val="24"/>
          <w:szCs w:val="24"/>
        </w:rPr>
        <w:t xml:space="preserve"> 2021 година </w:t>
      </w:r>
      <w:bookmarkStart w:id="136" w:name="_Hlk104899739"/>
      <w:r w:rsidRPr="00C9671E">
        <w:rPr>
          <w:rFonts w:ascii="Times New Roman" w:hAnsi="Times New Roman" w:cs="Times New Roman"/>
          <w:sz w:val="24"/>
          <w:szCs w:val="24"/>
        </w:rPr>
        <w:t>беа извршени 473 инспекции според Законот за општа безбедност на производите</w:t>
      </w:r>
      <w:r w:rsidRPr="00C9671E">
        <w:rPr>
          <w:rFonts w:ascii="Times New Roman" w:hAnsi="Times New Roman" w:cs="Times New Roman"/>
          <w:b/>
          <w:bCs/>
          <w:sz w:val="24"/>
          <w:szCs w:val="24"/>
        </w:rPr>
        <w:t xml:space="preserve"> </w:t>
      </w:r>
      <w:bookmarkEnd w:id="136"/>
      <w:r w:rsidRPr="00C9671E">
        <w:rPr>
          <w:rFonts w:ascii="Times New Roman" w:hAnsi="Times New Roman" w:cs="Times New Roman"/>
          <w:sz w:val="24"/>
          <w:szCs w:val="24"/>
        </w:rPr>
        <w:t xml:space="preserve">(зголемено во однос на 428 инспекции во 2020 година) и 131 инспекција според Законот за градежни производи (зголемено во однос на 20 инспекции во 2020 година). Тоа доведе до повлекување на 16 </w:t>
      </w:r>
      <w:bookmarkStart w:id="137" w:name="_Hlk104899796"/>
      <w:r w:rsidRPr="00C9671E">
        <w:rPr>
          <w:rFonts w:ascii="Times New Roman" w:hAnsi="Times New Roman" w:cs="Times New Roman"/>
          <w:sz w:val="24"/>
          <w:szCs w:val="24"/>
        </w:rPr>
        <w:t>штетни производи од пазарот</w:t>
      </w:r>
      <w:bookmarkEnd w:id="137"/>
      <w:r w:rsidRPr="00C9671E">
        <w:rPr>
          <w:rFonts w:ascii="Times New Roman" w:hAnsi="Times New Roman" w:cs="Times New Roman"/>
          <w:sz w:val="24"/>
          <w:szCs w:val="24"/>
        </w:rPr>
        <w:t>. Инспекторатот има 278 вработени, но недоволен број лиценцирани инспектори (171), а голем број вработени се блиску до пензија. Исто така, нема ефикасен софтверски систем за евидентирање на резултатите од инспекциите и соодветно планирање и управување со ризиците.</w:t>
      </w:r>
    </w:p>
    <w:p w14:paraId="3E9A90C1"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Усогласена област: секторско законодавство</w:t>
      </w:r>
    </w:p>
    <w:p w14:paraId="4AB006E4"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w:t>
      </w:r>
      <w:r w:rsidRPr="00C9671E">
        <w:rPr>
          <w:rFonts w:ascii="Times New Roman" w:hAnsi="Times New Roman" w:cs="Times New Roman"/>
          <w:b/>
          <w:sz w:val="24"/>
          <w:szCs w:val="24"/>
        </w:rPr>
        <w:t>законодавството за производи според „новиот и глобален пристап“</w:t>
      </w:r>
      <w:r w:rsidRPr="00C9671E">
        <w:rPr>
          <w:rFonts w:ascii="Times New Roman" w:hAnsi="Times New Roman" w:cs="Times New Roman"/>
          <w:sz w:val="24"/>
          <w:szCs w:val="24"/>
        </w:rPr>
        <w:t xml:space="preserve">, усогласеноста со правото на ЕУ останува на ниско ниво. Нема известување за напредок </w:t>
      </w:r>
      <w:r w:rsidRPr="00C9671E">
        <w:rPr>
          <w:rFonts w:ascii="Times New Roman" w:hAnsi="Times New Roman" w:cs="Times New Roman"/>
          <w:sz w:val="24"/>
          <w:szCs w:val="24"/>
        </w:rPr>
        <w:lastRenderedPageBreak/>
        <w:t>во усогласеноста со правото на ЕУ во областа на машинство, лифтови, уреди под низок напон, опрема под притисок, преносна опрема под притисок, електромагнетна компатибилност, лична заштитна опрема, низок напон, апарати за гас, експлозивни атмосфери, опрема под притисок, радио и телекомуникациска опрема ниту, пак, играчки и медицински средства. Сѐ уште не се донесени единаесет правни акти за спроведување заради усогласување со правото на ЕУ поврзано со општата безбедност на производите. Во градежниот сектор сѐ уште не се влезени во сила десет еврокодови со 58 стандарди и 57 национални анекси - нивната примена останува доброволна до 2023 година.</w:t>
      </w:r>
    </w:p>
    <w:p w14:paraId="5E053D4E"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Националното законодавство во однос на законодавството за производи според „</w:t>
      </w:r>
      <w:r w:rsidRPr="00C9671E">
        <w:rPr>
          <w:rFonts w:ascii="Times New Roman" w:hAnsi="Times New Roman" w:cs="Times New Roman"/>
          <w:b/>
          <w:sz w:val="24"/>
          <w:szCs w:val="24"/>
        </w:rPr>
        <w:t>стариот пристап</w:t>
      </w:r>
      <w:r w:rsidRPr="00C9671E">
        <w:rPr>
          <w:rFonts w:ascii="Times New Roman" w:hAnsi="Times New Roman" w:cs="Times New Roman"/>
          <w:sz w:val="24"/>
          <w:szCs w:val="24"/>
        </w:rPr>
        <w:t>“ сѐ уште не е усогласено со сегашното право на ЕУ за возила, лекови за човечка употреба и лекови за ветеринарна употреба. Не е направен напредок во однос на усогласувањето и спроведувањето на Регулативата на ЕУ за регистрација, оцена, овластување и ограничување на хемикалии (</w:t>
      </w:r>
      <w:r w:rsidRPr="00C9671E">
        <w:rPr>
          <w:rFonts w:ascii="Times New Roman" w:hAnsi="Times New Roman" w:cs="Times New Roman"/>
          <w:sz w:val="24"/>
          <w:szCs w:val="24"/>
          <w:u w:val="single"/>
        </w:rPr>
        <w:t>РЕАЦХ</w:t>
      </w:r>
      <w:r w:rsidRPr="00C9671E">
        <w:rPr>
          <w:rFonts w:ascii="Times New Roman" w:hAnsi="Times New Roman" w:cs="Times New Roman"/>
          <w:sz w:val="24"/>
          <w:szCs w:val="24"/>
        </w:rPr>
        <w:t xml:space="preserve">), за хемикалии, класификација, означување и пакување на супстанции и смеси (ЦЛП), за добри лабораториски практики (ГЛП) или за </w:t>
      </w:r>
      <w:r w:rsidRPr="00C9671E">
        <w:rPr>
          <w:rFonts w:ascii="Times New Roman" w:hAnsi="Times New Roman" w:cs="Times New Roman"/>
          <w:b/>
          <w:sz w:val="24"/>
          <w:szCs w:val="24"/>
        </w:rPr>
        <w:t>ѓубриња</w:t>
      </w:r>
      <w:r w:rsidRPr="00C9671E">
        <w:rPr>
          <w:rFonts w:ascii="Times New Roman" w:hAnsi="Times New Roman" w:cs="Times New Roman"/>
          <w:sz w:val="24"/>
          <w:szCs w:val="24"/>
        </w:rPr>
        <w:t xml:space="preserve"> и </w:t>
      </w:r>
      <w:r w:rsidRPr="00C9671E">
        <w:rPr>
          <w:rFonts w:ascii="Times New Roman" w:hAnsi="Times New Roman" w:cs="Times New Roman"/>
          <w:b/>
          <w:sz w:val="24"/>
          <w:szCs w:val="24"/>
        </w:rPr>
        <w:t>детергенти</w:t>
      </w:r>
      <w:r w:rsidRPr="00C9671E">
        <w:rPr>
          <w:rFonts w:ascii="Times New Roman" w:hAnsi="Times New Roman" w:cs="Times New Roman"/>
          <w:sz w:val="24"/>
          <w:szCs w:val="24"/>
        </w:rPr>
        <w:t xml:space="preserve">. Не е подобрен административниот капацитет во областа на </w:t>
      </w:r>
      <w:r w:rsidRPr="00C9671E">
        <w:rPr>
          <w:rFonts w:ascii="Times New Roman" w:hAnsi="Times New Roman" w:cs="Times New Roman"/>
          <w:b/>
          <w:sz w:val="24"/>
          <w:szCs w:val="24"/>
        </w:rPr>
        <w:t>огненото оружје</w:t>
      </w:r>
      <w:r w:rsidRPr="00C9671E">
        <w:rPr>
          <w:rFonts w:ascii="Times New Roman" w:hAnsi="Times New Roman" w:cs="Times New Roman"/>
          <w:sz w:val="24"/>
          <w:szCs w:val="24"/>
        </w:rPr>
        <w:t>.</w:t>
      </w:r>
    </w:p>
    <w:p w14:paraId="0A0DC96F" w14:textId="77777777"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процедуралните мерки</w:t>
      </w:r>
      <w:r w:rsidRPr="00C9671E">
        <w:rPr>
          <w:rFonts w:ascii="Times New Roman" w:hAnsi="Times New Roman" w:cs="Times New Roman"/>
          <w:sz w:val="24"/>
          <w:szCs w:val="24"/>
        </w:rPr>
        <w:t xml:space="preserve">, Министерството за економија и Институтот за стандардизација се одговорни за </w:t>
      </w:r>
      <w:r w:rsidRPr="00C9671E">
        <w:rPr>
          <w:rFonts w:ascii="Times New Roman" w:hAnsi="Times New Roman" w:cs="Times New Roman"/>
          <w:b/>
          <w:sz w:val="24"/>
          <w:szCs w:val="24"/>
        </w:rPr>
        <w:t>постапките за известување</w:t>
      </w:r>
      <w:r w:rsidRPr="00C9671E">
        <w:rPr>
          <w:rFonts w:ascii="Times New Roman" w:hAnsi="Times New Roman" w:cs="Times New Roman"/>
          <w:sz w:val="24"/>
          <w:szCs w:val="24"/>
        </w:rPr>
        <w:t xml:space="preserve"> за стандардите и техничките прописи. Воспоставени се и целосно функционираат јавните органи што извршуваат соодветни проверки и надзор. Системите за лиценцирање, следење и контрола за деловните субјекти што се занимаваат со </w:t>
      </w:r>
      <w:r w:rsidRPr="00C9671E">
        <w:rPr>
          <w:rFonts w:ascii="Times New Roman" w:hAnsi="Times New Roman" w:cs="Times New Roman"/>
          <w:b/>
          <w:sz w:val="24"/>
          <w:szCs w:val="24"/>
        </w:rPr>
        <w:t>прекурсори за дрога</w:t>
      </w:r>
      <w:r w:rsidRPr="00C9671E">
        <w:rPr>
          <w:rFonts w:ascii="Times New Roman" w:hAnsi="Times New Roman" w:cs="Times New Roman"/>
          <w:sz w:val="24"/>
          <w:szCs w:val="24"/>
        </w:rPr>
        <w:t xml:space="preserve"> и </w:t>
      </w:r>
      <w:r w:rsidRPr="00C9671E">
        <w:rPr>
          <w:rFonts w:ascii="Times New Roman" w:hAnsi="Times New Roman" w:cs="Times New Roman"/>
          <w:b/>
          <w:sz w:val="24"/>
          <w:szCs w:val="24"/>
        </w:rPr>
        <w:t>цивилни експлозиви</w:t>
      </w:r>
      <w:r w:rsidRPr="00C9671E">
        <w:rPr>
          <w:rFonts w:ascii="Times New Roman" w:hAnsi="Times New Roman" w:cs="Times New Roman"/>
          <w:sz w:val="24"/>
          <w:szCs w:val="24"/>
        </w:rPr>
        <w:t xml:space="preserve">, исто така, се функционални. Предвидено е националното законодавство да се усогласи со правото на ЕУ за враќање на културните добра што незаконски се отстранети од една земја членка. Не постојат правила за </w:t>
      </w:r>
      <w:r w:rsidRPr="00C9671E">
        <w:rPr>
          <w:rFonts w:ascii="Times New Roman" w:hAnsi="Times New Roman" w:cs="Times New Roman"/>
          <w:b/>
          <w:sz w:val="24"/>
          <w:szCs w:val="24"/>
        </w:rPr>
        <w:t>проверка на надворешната граница</w:t>
      </w:r>
      <w:r w:rsidRPr="00C9671E">
        <w:rPr>
          <w:rFonts w:ascii="Times New Roman" w:hAnsi="Times New Roman" w:cs="Times New Roman"/>
          <w:sz w:val="24"/>
          <w:szCs w:val="24"/>
        </w:rPr>
        <w:t xml:space="preserve"> во однос на производи што се увезени од земји што не се членки на ЕУ што се однесува на сообразноста со правилата за безбедност на производите.</w:t>
      </w:r>
    </w:p>
    <w:p w14:paraId="57224DBB" w14:textId="77777777" w:rsidR="00A50BBD" w:rsidRPr="00C9671E" w:rsidRDefault="00A50BBD" w:rsidP="006E4EB0">
      <w:pPr>
        <w:pStyle w:val="Heading3"/>
        <w:spacing w:before="0"/>
      </w:pPr>
      <w:bookmarkStart w:id="138" w:name="_Toc117004164"/>
      <w:bookmarkStart w:id="139" w:name="_Toc84631584"/>
      <w:bookmarkStart w:id="140" w:name="_Toc84329782"/>
      <w:bookmarkStart w:id="141" w:name="_Toc51252775"/>
      <w:bookmarkStart w:id="142" w:name="_Toc9430352"/>
      <w:bookmarkStart w:id="143" w:name="_Toc115619794"/>
      <w:r w:rsidRPr="00C9671E">
        <w:t>Поглавје 2: Слободно движење на работници</w:t>
      </w:r>
      <w:bookmarkEnd w:id="138"/>
      <w:r w:rsidRPr="00C9671E">
        <w:t xml:space="preserve"> </w:t>
      </w:r>
    </w:p>
    <w:p w14:paraId="5A0CEFB3" w14:textId="2153FEA2" w:rsidR="00A50BBD" w:rsidRPr="00C9671E" w:rsidRDefault="00A50BBD" w:rsidP="006E4EB0">
      <w:pPr>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iCs/>
          <w:sz w:val="24"/>
          <w:szCs w:val="24"/>
        </w:rPr>
        <w:t xml:space="preserve">Граѓаните на една земја членка имаат право да работат во друга земја членка и мора да им </w:t>
      </w:r>
      <w:r>
        <w:rPr>
          <w:rFonts w:ascii="Times New Roman" w:hAnsi="Times New Roman" w:cs="Times New Roman"/>
          <w:i/>
          <w:iCs/>
          <w:sz w:val="24"/>
          <w:szCs w:val="24"/>
        </w:rPr>
        <w:t>бидат</w:t>
      </w:r>
      <w:r w:rsidRPr="00C9671E">
        <w:rPr>
          <w:rFonts w:ascii="Times New Roman" w:hAnsi="Times New Roman" w:cs="Times New Roman"/>
          <w:i/>
          <w:iCs/>
          <w:sz w:val="24"/>
          <w:szCs w:val="24"/>
        </w:rPr>
        <w:t xml:space="preserve"> обезбед</w:t>
      </w:r>
      <w:r>
        <w:rPr>
          <w:rFonts w:ascii="Times New Roman" w:hAnsi="Times New Roman" w:cs="Times New Roman"/>
          <w:i/>
          <w:iCs/>
          <w:sz w:val="24"/>
          <w:szCs w:val="24"/>
        </w:rPr>
        <w:t>ени</w:t>
      </w:r>
      <w:r w:rsidRPr="00C9671E">
        <w:rPr>
          <w:rFonts w:ascii="Times New Roman" w:hAnsi="Times New Roman" w:cs="Times New Roman"/>
          <w:i/>
          <w:iCs/>
          <w:sz w:val="24"/>
          <w:szCs w:val="24"/>
        </w:rPr>
        <w:t xml:space="preserve"> исти работни и социјални услови како и на другите работници. </w:t>
      </w:r>
    </w:p>
    <w:p w14:paraId="3D548E07" w14:textId="2E5C48B8"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е во </w:t>
      </w:r>
      <w:r w:rsidRPr="00C9671E">
        <w:rPr>
          <w:rFonts w:ascii="Times New Roman" w:hAnsi="Times New Roman" w:cs="Times New Roman"/>
          <w:b/>
          <w:sz w:val="24"/>
          <w:szCs w:val="24"/>
        </w:rPr>
        <w:t>рана фаза</w:t>
      </w:r>
      <w:r w:rsidRPr="00C9671E">
        <w:rPr>
          <w:rFonts w:ascii="Times New Roman" w:hAnsi="Times New Roman" w:cs="Times New Roman"/>
          <w:sz w:val="24"/>
          <w:szCs w:val="24"/>
        </w:rPr>
        <w:t xml:space="preserve"> на подготвеност во областа на слободното движење на работници. Во извештајниот период </w:t>
      </w:r>
      <w:r w:rsidRPr="00C9671E">
        <w:rPr>
          <w:rFonts w:ascii="Times New Roman" w:hAnsi="Times New Roman" w:cs="Times New Roman"/>
          <w:b/>
          <w:sz w:val="24"/>
          <w:szCs w:val="24"/>
        </w:rPr>
        <w:t>не е постигнат напредок</w:t>
      </w:r>
      <w:r w:rsidRPr="00C9671E">
        <w:rPr>
          <w:rFonts w:ascii="Times New Roman" w:hAnsi="Times New Roman" w:cs="Times New Roman"/>
          <w:sz w:val="24"/>
          <w:szCs w:val="24"/>
        </w:rPr>
        <w:t xml:space="preserve"> во однос на препораките од минатата година и тие остануваат во важност. </w:t>
      </w:r>
    </w:p>
    <w:p w14:paraId="6FD980E0" w14:textId="255E99B4" w:rsidR="00A50BBD" w:rsidRPr="00C9671E" w:rsidRDefault="00A50BBD"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наредниот период Северна Македонија особено треба:</w:t>
      </w:r>
    </w:p>
    <w:p w14:paraId="06320585" w14:textId="1264D89B" w:rsidR="00A50BBD" w:rsidRPr="00C9671E" w:rsidRDefault="00A50BBD" w:rsidP="00705B41">
      <w:pPr>
        <w:numPr>
          <w:ilvl w:val="0"/>
          <w:numId w:val="3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 xml:space="preserve">да продолжи да ја приспособува правната рамка во согласност со правото на ЕУ за пристап до пазарот на трудот, особено во </w:t>
      </w:r>
      <w:r>
        <w:rPr>
          <w:rFonts w:ascii="Times New Roman" w:hAnsi="Times New Roman" w:cs="Times New Roman"/>
          <w:sz w:val="24"/>
          <w:szCs w:val="24"/>
        </w:rPr>
        <w:t>однос на</w:t>
      </w:r>
      <w:r w:rsidRPr="00C9671E">
        <w:rPr>
          <w:rFonts w:ascii="Times New Roman" w:hAnsi="Times New Roman" w:cs="Times New Roman"/>
          <w:sz w:val="24"/>
          <w:szCs w:val="24"/>
        </w:rPr>
        <w:t xml:space="preserve"> недискриминацијата врз основа на националност </w:t>
      </w:r>
      <w:r>
        <w:rPr>
          <w:rFonts w:ascii="Times New Roman" w:hAnsi="Times New Roman" w:cs="Times New Roman"/>
          <w:sz w:val="24"/>
          <w:szCs w:val="24"/>
        </w:rPr>
        <w:t>з</w:t>
      </w:r>
      <w:r w:rsidRPr="00C9671E">
        <w:rPr>
          <w:rFonts w:ascii="Times New Roman" w:hAnsi="Times New Roman" w:cs="Times New Roman"/>
          <w:sz w:val="24"/>
          <w:szCs w:val="24"/>
        </w:rPr>
        <w:t>а работниците од ЕУ;</w:t>
      </w:r>
    </w:p>
    <w:p w14:paraId="480A6169" w14:textId="143707B0" w:rsidR="00A50BBD" w:rsidRPr="00C9671E" w:rsidRDefault="00A50BBD" w:rsidP="00705B41">
      <w:pPr>
        <w:numPr>
          <w:ilvl w:val="0"/>
          <w:numId w:val="39"/>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го забрза потпишувањето</w:t>
      </w:r>
      <w:r>
        <w:rPr>
          <w:rFonts w:ascii="Times New Roman" w:hAnsi="Times New Roman" w:cs="Times New Roman"/>
          <w:sz w:val="24"/>
          <w:szCs w:val="24"/>
        </w:rPr>
        <w:t xml:space="preserve"> на</w:t>
      </w:r>
      <w:r w:rsidRPr="00C9671E">
        <w:rPr>
          <w:rFonts w:ascii="Times New Roman" w:hAnsi="Times New Roman" w:cs="Times New Roman"/>
          <w:sz w:val="24"/>
          <w:szCs w:val="24"/>
        </w:rPr>
        <w:t xml:space="preserve"> </w:t>
      </w:r>
      <w:r>
        <w:rPr>
          <w:rFonts w:ascii="Times New Roman" w:hAnsi="Times New Roman" w:cs="Times New Roman"/>
          <w:sz w:val="24"/>
          <w:szCs w:val="24"/>
        </w:rPr>
        <w:t>договори</w:t>
      </w:r>
      <w:r w:rsidRPr="00C9671E">
        <w:rPr>
          <w:rFonts w:ascii="Times New Roman" w:hAnsi="Times New Roman" w:cs="Times New Roman"/>
          <w:sz w:val="24"/>
          <w:szCs w:val="24"/>
        </w:rPr>
        <w:t xml:space="preserve"> за координација на социјалното и здравственото осигурување со земјите членки на ЕУ и да </w:t>
      </w:r>
      <w:r>
        <w:rPr>
          <w:rFonts w:ascii="Times New Roman" w:hAnsi="Times New Roman" w:cs="Times New Roman"/>
          <w:sz w:val="24"/>
          <w:szCs w:val="24"/>
        </w:rPr>
        <w:t>идентификува</w:t>
      </w:r>
      <w:r w:rsidRPr="00C9671E">
        <w:rPr>
          <w:rFonts w:ascii="Times New Roman" w:hAnsi="Times New Roman" w:cs="Times New Roman"/>
          <w:sz w:val="24"/>
          <w:szCs w:val="24"/>
        </w:rPr>
        <w:t xml:space="preserve"> административни мерки што треба да бидат воведени </w:t>
      </w:r>
      <w:r>
        <w:rPr>
          <w:rFonts w:ascii="Times New Roman" w:hAnsi="Times New Roman" w:cs="Times New Roman"/>
          <w:sz w:val="24"/>
          <w:szCs w:val="24"/>
        </w:rPr>
        <w:t>за</w:t>
      </w:r>
      <w:r w:rsidRPr="00C9671E">
        <w:rPr>
          <w:rFonts w:ascii="Times New Roman" w:hAnsi="Times New Roman" w:cs="Times New Roman"/>
          <w:sz w:val="24"/>
          <w:szCs w:val="24"/>
        </w:rPr>
        <w:t xml:space="preserve"> подготовка за идно пристапување.</w:t>
      </w:r>
    </w:p>
    <w:p w14:paraId="5147C56C" w14:textId="6B9245C5"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Нема напредок во усогласувањето на националното законодавство со правото на ЕУ во областа на</w:t>
      </w:r>
      <w:r w:rsidRPr="00C9671E">
        <w:rPr>
          <w:rFonts w:ascii="Times New Roman" w:hAnsi="Times New Roman" w:cs="Times New Roman"/>
          <w:b/>
          <w:sz w:val="24"/>
          <w:szCs w:val="24"/>
        </w:rPr>
        <w:t xml:space="preserve"> пристапот до пазарот на трудот</w:t>
      </w:r>
      <w:r w:rsidRPr="00C9671E">
        <w:rPr>
          <w:rFonts w:ascii="Times New Roman" w:hAnsi="Times New Roman" w:cs="Times New Roman"/>
          <w:sz w:val="24"/>
          <w:szCs w:val="24"/>
        </w:rPr>
        <w:t xml:space="preserve">. Граѓаните на ЕУ сѐ уште немаат пристап до работни места во јавната администрација, </w:t>
      </w:r>
      <w:r>
        <w:rPr>
          <w:rFonts w:ascii="Times New Roman" w:hAnsi="Times New Roman" w:cs="Times New Roman"/>
          <w:sz w:val="24"/>
          <w:szCs w:val="24"/>
        </w:rPr>
        <w:t xml:space="preserve">со исклучок на </w:t>
      </w:r>
      <w:r w:rsidRPr="00C9671E">
        <w:rPr>
          <w:rFonts w:ascii="Times New Roman" w:hAnsi="Times New Roman" w:cs="Times New Roman"/>
          <w:sz w:val="24"/>
          <w:szCs w:val="24"/>
        </w:rPr>
        <w:t xml:space="preserve">некои позиции во областите на здравството и образованието. Исто така, некои работни места во </w:t>
      </w:r>
      <w:r w:rsidRPr="00C9671E">
        <w:rPr>
          <w:rFonts w:ascii="Times New Roman" w:hAnsi="Times New Roman" w:cs="Times New Roman"/>
          <w:sz w:val="24"/>
          <w:szCs w:val="24"/>
        </w:rPr>
        <w:lastRenderedPageBreak/>
        <w:t>приватниот сектор може да бидат пополнети исклучиво од државјани на Северна Македонија. Агенцијата за вработување издава различни видови работни дозволи за странски работници с</w:t>
      </w:r>
      <w:r>
        <w:rPr>
          <w:rFonts w:ascii="Times New Roman" w:hAnsi="Times New Roman" w:cs="Times New Roman"/>
          <w:sz w:val="24"/>
          <w:szCs w:val="24"/>
        </w:rPr>
        <w:t xml:space="preserve">огласно </w:t>
      </w:r>
      <w:r w:rsidRPr="00C9671E">
        <w:rPr>
          <w:rFonts w:ascii="Times New Roman" w:hAnsi="Times New Roman" w:cs="Times New Roman"/>
          <w:sz w:val="24"/>
          <w:szCs w:val="24"/>
        </w:rPr>
        <w:t xml:space="preserve"> годишните квоти. Во 2021 година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издаде 755 работни дозволи за странски работници. Сѐ уште нема </w:t>
      </w:r>
      <w:r>
        <w:rPr>
          <w:rFonts w:ascii="Times New Roman" w:hAnsi="Times New Roman" w:cs="Times New Roman"/>
          <w:sz w:val="24"/>
          <w:szCs w:val="24"/>
        </w:rPr>
        <w:t xml:space="preserve">подготвителни </w:t>
      </w:r>
      <w:r w:rsidRPr="00C9671E">
        <w:rPr>
          <w:rFonts w:ascii="Times New Roman" w:hAnsi="Times New Roman" w:cs="Times New Roman"/>
          <w:sz w:val="24"/>
          <w:szCs w:val="24"/>
        </w:rPr>
        <w:t>активности за приклучување кон Европската мрежа на услуги за вработување (ЕУРЕС) по пристапувањето.</w:t>
      </w:r>
    </w:p>
    <w:p w14:paraId="496D96A0" w14:textId="32DEC691" w:rsidR="00A50BBD" w:rsidRPr="00C9671E" w:rsidRDefault="00A50BBD"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извештајниот период не се склучени нови </w:t>
      </w:r>
      <w:r>
        <w:rPr>
          <w:rFonts w:ascii="Times New Roman" w:hAnsi="Times New Roman" w:cs="Times New Roman"/>
          <w:sz w:val="24"/>
          <w:szCs w:val="24"/>
        </w:rPr>
        <w:t xml:space="preserve">билатерални </w:t>
      </w:r>
      <w:r w:rsidRPr="00C9671E">
        <w:rPr>
          <w:rFonts w:ascii="Times New Roman" w:hAnsi="Times New Roman" w:cs="Times New Roman"/>
          <w:sz w:val="24"/>
          <w:szCs w:val="24"/>
        </w:rPr>
        <w:t xml:space="preserve">договори за </w:t>
      </w:r>
      <w:r>
        <w:rPr>
          <w:rFonts w:ascii="Times New Roman" w:hAnsi="Times New Roman" w:cs="Times New Roman"/>
          <w:sz w:val="24"/>
          <w:szCs w:val="24"/>
        </w:rPr>
        <w:t xml:space="preserve">взаемна </w:t>
      </w:r>
      <w:r w:rsidRPr="00C9671E">
        <w:rPr>
          <w:rFonts w:ascii="Times New Roman" w:hAnsi="Times New Roman" w:cs="Times New Roman"/>
          <w:sz w:val="24"/>
          <w:szCs w:val="24"/>
        </w:rPr>
        <w:t xml:space="preserve">координација на системите за социјално осигурување ниту, пак, </w:t>
      </w:r>
      <w:r>
        <w:rPr>
          <w:rFonts w:ascii="Times New Roman" w:hAnsi="Times New Roman" w:cs="Times New Roman"/>
          <w:sz w:val="24"/>
          <w:szCs w:val="24"/>
        </w:rPr>
        <w:t>договори</w:t>
      </w:r>
      <w:r w:rsidRPr="00C9671E">
        <w:rPr>
          <w:rFonts w:ascii="Times New Roman" w:hAnsi="Times New Roman" w:cs="Times New Roman"/>
          <w:sz w:val="24"/>
          <w:szCs w:val="24"/>
        </w:rPr>
        <w:t xml:space="preserve"> за меѓусебно признавање на здравствените услуги. Земјата има склучено 23 билатерални договори за координација на системите за социјално осигурување, од кои 13 се во сила со земји членки на ЕУ, </w:t>
      </w:r>
      <w:r>
        <w:rPr>
          <w:rFonts w:ascii="Times New Roman" w:hAnsi="Times New Roman" w:cs="Times New Roman"/>
          <w:sz w:val="24"/>
          <w:szCs w:val="24"/>
        </w:rPr>
        <w:t>и</w:t>
      </w:r>
      <w:r w:rsidRPr="00C9671E">
        <w:rPr>
          <w:rFonts w:ascii="Times New Roman" w:hAnsi="Times New Roman" w:cs="Times New Roman"/>
          <w:sz w:val="24"/>
          <w:szCs w:val="24"/>
        </w:rPr>
        <w:t xml:space="preserve"> 18 </w:t>
      </w:r>
      <w:r>
        <w:rPr>
          <w:rFonts w:ascii="Times New Roman" w:hAnsi="Times New Roman" w:cs="Times New Roman"/>
          <w:sz w:val="24"/>
          <w:szCs w:val="24"/>
        </w:rPr>
        <w:t>договори</w:t>
      </w:r>
      <w:r w:rsidRPr="00C9671E">
        <w:rPr>
          <w:rFonts w:ascii="Times New Roman" w:hAnsi="Times New Roman" w:cs="Times New Roman"/>
          <w:sz w:val="24"/>
          <w:szCs w:val="24"/>
        </w:rPr>
        <w:t xml:space="preserve"> за меѓусебно здравствено осигурување, од кои 12 се со земји членки на ЕУ. Граѓаните може да ја користат европската картичка за здравствено осигурување во девет земји членки на ЕУ.</w:t>
      </w:r>
    </w:p>
    <w:p w14:paraId="0C386287" w14:textId="77777777" w:rsidR="00A50BBD" w:rsidRPr="00C9671E" w:rsidRDefault="00A50BBD" w:rsidP="006E4EB0">
      <w:pPr>
        <w:pStyle w:val="Heading3"/>
        <w:spacing w:before="0"/>
      </w:pPr>
      <w:bookmarkStart w:id="144" w:name="_Toc117004165"/>
      <w:r w:rsidRPr="00C9671E">
        <w:t>Поглавје 3: Право на основање и слобода на давање услуги</w:t>
      </w:r>
      <w:bookmarkEnd w:id="139"/>
      <w:bookmarkEnd w:id="140"/>
      <w:bookmarkEnd w:id="141"/>
      <w:bookmarkEnd w:id="142"/>
      <w:bookmarkEnd w:id="143"/>
      <w:bookmarkEnd w:id="144"/>
    </w:p>
    <w:p w14:paraId="6A2885D2" w14:textId="77777777" w:rsidR="00A50BBD" w:rsidRPr="00C9671E" w:rsidRDefault="00A50BBD" w:rsidP="006E4EB0">
      <w:pPr>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szCs w:val="24"/>
        </w:rPr>
        <w:t>Физичките и правните лица на ЕУ имаат право да се основаат во која било земја членка и да обезбедуваат прекугранични услуги. За одредени регулирани професии, постојат правила за меѓусебно признавање на квалификациите. Поштенските услуги постепено се отвораат за конкуренција.</w:t>
      </w:r>
    </w:p>
    <w:tbl>
      <w:tblPr>
        <w:tblW w:w="0" w:type="auto"/>
        <w:tblLook w:val="04A0" w:firstRow="1" w:lastRow="0" w:firstColumn="1" w:lastColumn="0" w:noHBand="0" w:noVBand="1"/>
      </w:tblPr>
      <w:tblGrid>
        <w:gridCol w:w="9062"/>
      </w:tblGrid>
      <w:tr w:rsidR="00A50BBD" w:rsidRPr="00C9671E" w14:paraId="4A289B80" w14:textId="77777777" w:rsidTr="006E4EB0">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D9D9D9"/>
            <w:hideMark/>
          </w:tcPr>
          <w:p w14:paraId="2FA2ACA5" w14:textId="72B3175B"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основање и слобода на давање услуги,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е </w:t>
            </w:r>
            <w:r w:rsidRPr="00C9671E">
              <w:rPr>
                <w:rFonts w:ascii="Times New Roman" w:hAnsi="Times New Roman" w:cs="Times New Roman"/>
                <w:b/>
                <w:bCs/>
                <w:sz w:val="24"/>
                <w:szCs w:val="24"/>
              </w:rPr>
              <w:t>умерено подготвена</w:t>
            </w:r>
            <w:r w:rsidRPr="00C9671E">
              <w:rPr>
                <w:rFonts w:ascii="Times New Roman" w:hAnsi="Times New Roman" w:cs="Times New Roman"/>
                <w:sz w:val="24"/>
                <w:szCs w:val="24"/>
              </w:rPr>
              <w:t xml:space="preserve">. Постигнат е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Достапна е единствена контакт точка како електронска платформа и редовно се ажурира. Нема напредок за натамошно усогласување со правото на ЕУ за признавањето на професионалните квалификации. Во наредната година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особено треба:</w:t>
            </w:r>
          </w:p>
          <w:p w14:paraId="0EC60A3D" w14:textId="5B93E90E" w:rsidR="00A50BBD" w:rsidRPr="00C9671E" w:rsidRDefault="00A50BBD" w:rsidP="006E4EB0">
            <w:pPr>
              <w:numPr>
                <w:ilvl w:val="0"/>
                <w:numId w:val="40"/>
              </w:numPr>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ги зголеми обемот на информации и онлајн пристапот до услуги што е достапен со ед</w:t>
            </w:r>
            <w:r>
              <w:rPr>
                <w:rFonts w:ascii="Times New Roman" w:hAnsi="Times New Roman" w:cs="Times New Roman"/>
                <w:sz w:val="24"/>
                <w:szCs w:val="24"/>
              </w:rPr>
              <w:t>инствена</w:t>
            </w:r>
            <w:r w:rsidRPr="00C9671E">
              <w:rPr>
                <w:rFonts w:ascii="Times New Roman" w:hAnsi="Times New Roman" w:cs="Times New Roman"/>
                <w:sz w:val="24"/>
                <w:szCs w:val="24"/>
              </w:rPr>
              <w:t xml:space="preserve"> точка за контакт;</w:t>
            </w:r>
          </w:p>
          <w:p w14:paraId="5E8386E6" w14:textId="77777777" w:rsidR="00A50BBD" w:rsidRPr="00C9671E" w:rsidRDefault="00A50BBD" w:rsidP="006E4EB0">
            <w:pPr>
              <w:numPr>
                <w:ilvl w:val="0"/>
                <w:numId w:val="40"/>
              </w:numPr>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продолжи со усогласување на националното законодавство со правото на ЕУ за поштенски услуги, вклучително со Директивата за поштенски услуги и со Регулативата за прекугранична испорака на пратки;</w:t>
            </w:r>
          </w:p>
          <w:p w14:paraId="76DAFCFE" w14:textId="77777777" w:rsidR="00A50BBD" w:rsidRPr="00C9671E" w:rsidRDefault="00A50BBD" w:rsidP="006E4EB0">
            <w:pPr>
              <w:numPr>
                <w:ilvl w:val="0"/>
                <w:numId w:val="40"/>
              </w:numPr>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 xml:space="preserve">да го усогласи националното законодавство со правото на ЕУ, особено во однос на услугите и заемното признавање на професионалните квалификации. </w:t>
            </w:r>
          </w:p>
        </w:tc>
      </w:tr>
    </w:tbl>
    <w:p w14:paraId="12E267D4" w14:textId="4E91E186"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правото на основање и слободата на давање прекугранични услуги</w:t>
      </w:r>
      <w:r w:rsidRPr="00C9671E">
        <w:rPr>
          <w:rFonts w:ascii="Times New Roman" w:hAnsi="Times New Roman" w:cs="Times New Roman"/>
          <w:sz w:val="24"/>
          <w:szCs w:val="24"/>
        </w:rPr>
        <w:t xml:space="preserve">,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продолжи да го усогласува националното законодавство со Директивата за услуги на ЕУ. Акцискиот план за решавање на неусогласеноста на секторските закони беше ажуриран за да се утврдат одредбите што се спротивни на директивата и во одредени сектори беа донесени соодветни измени</w:t>
      </w:r>
      <w:r w:rsidR="00F503A5">
        <w:rPr>
          <w:rFonts w:ascii="Times New Roman" w:hAnsi="Times New Roman" w:cs="Times New Roman"/>
          <w:sz w:val="24"/>
          <w:szCs w:val="24"/>
        </w:rPr>
        <w:t>.</w:t>
      </w:r>
      <w:r w:rsidRPr="00C9671E">
        <w:rPr>
          <w:rFonts w:ascii="Times New Roman" w:hAnsi="Times New Roman" w:cs="Times New Roman"/>
          <w:sz w:val="24"/>
          <w:szCs w:val="24"/>
        </w:rPr>
        <w:t xml:space="preserve"> Платформата (www.uslugi.gov.mk) е поставена како ед</w:t>
      </w:r>
      <w:r>
        <w:rPr>
          <w:rFonts w:ascii="Times New Roman" w:hAnsi="Times New Roman" w:cs="Times New Roman"/>
          <w:sz w:val="24"/>
          <w:szCs w:val="24"/>
        </w:rPr>
        <w:t>инствена</w:t>
      </w:r>
      <w:r w:rsidRPr="00C9671E">
        <w:rPr>
          <w:rFonts w:ascii="Times New Roman" w:hAnsi="Times New Roman" w:cs="Times New Roman"/>
          <w:sz w:val="24"/>
          <w:szCs w:val="24"/>
        </w:rPr>
        <w:t xml:space="preserve"> точка за контакт за услуги и редовно се ажурира со нови функционалности</w:t>
      </w:r>
      <w:r w:rsidRPr="00C9671E">
        <w:rPr>
          <w:rFonts w:ascii="Times New Roman" w:hAnsi="Times New Roman" w:cs="Times New Roman"/>
          <w:color w:val="000000"/>
          <w:sz w:val="24"/>
          <w:szCs w:val="24"/>
        </w:rPr>
        <w:t xml:space="preserve">. До септември 2022 година порталот содржеше информации за околу 819 услуги за граѓаните и претпријатијата, од кои 203 овозможуваат е-апликација. </w:t>
      </w:r>
      <w:r w:rsidRPr="00C9671E">
        <w:rPr>
          <w:rFonts w:ascii="Times New Roman" w:hAnsi="Times New Roman" w:cs="Times New Roman"/>
          <w:sz w:val="24"/>
          <w:szCs w:val="24"/>
        </w:rPr>
        <w:t>Националните јавни административни органи не ги признаваат сертификациите за системите за квалитет издадени од компании регистрирани во земји членки на ЕУ. Со ова се попречува слободата на давање услуги и тоа е против мултилатералната спогодба за меѓусебно признавање на сертификации.</w:t>
      </w:r>
    </w:p>
    <w:p w14:paraId="12B5D9D4" w14:textId="6AB68CA9"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Од јануари 2022 година Законот за </w:t>
      </w:r>
      <w:r w:rsidRPr="00C9671E">
        <w:rPr>
          <w:rFonts w:ascii="Times New Roman" w:hAnsi="Times New Roman" w:cs="Times New Roman"/>
          <w:b/>
          <w:sz w:val="24"/>
          <w:szCs w:val="24"/>
        </w:rPr>
        <w:t xml:space="preserve">поштенски услуги </w:t>
      </w:r>
      <w:r w:rsidRPr="00C9671E">
        <w:rPr>
          <w:rFonts w:ascii="Times New Roman" w:hAnsi="Times New Roman" w:cs="Times New Roman"/>
          <w:sz w:val="24"/>
          <w:szCs w:val="24"/>
        </w:rPr>
        <w:t xml:space="preserve">овозможува целосна либерализација на поштенските услуги во земјата бидејќи универзалната поштенска услуга повеќе не е ексклузивна надлежност на Поштата на Северна Македонија. Во септември 2022 година имаше 45 даватели на поштенски услуги со општи овластувања, </w:t>
      </w:r>
      <w:r w:rsidRPr="00C9671E">
        <w:rPr>
          <w:rFonts w:ascii="Times New Roman" w:hAnsi="Times New Roman" w:cs="Times New Roman"/>
          <w:sz w:val="24"/>
          <w:szCs w:val="24"/>
        </w:rPr>
        <w:lastRenderedPageBreak/>
        <w:t xml:space="preserve">вклучително и Поштата на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 xml:space="preserve">како именуван давател на универзални услуги на целата територија на земјата. Потребно е да се зголемат независноста и административните капацитети на поштенскиот регулатор, како и капацитетот на Министерството за транспорт и врски да дејствува во поштенскиот сектор. Поштата на </w:t>
      </w:r>
      <w:r>
        <w:rPr>
          <w:rFonts w:ascii="Times New Roman" w:hAnsi="Times New Roman" w:cs="Times New Roman"/>
          <w:sz w:val="24"/>
          <w:szCs w:val="24"/>
        </w:rPr>
        <w:t xml:space="preserve">Северна Македонија </w:t>
      </w:r>
      <w:r w:rsidRPr="00C9671E">
        <w:rPr>
          <w:rFonts w:ascii="Times New Roman" w:hAnsi="Times New Roman" w:cs="Times New Roman"/>
          <w:sz w:val="24"/>
          <w:szCs w:val="24"/>
        </w:rPr>
        <w:t>сѐ уште треба да воспостави системи за поделба на сметководството и на пресметувањето на нето-трошокот во согласност со Директивата за поштенски услуги. Сѐ уште не е постапено по наодите од ревизорскиот извештај на Државниот завод за статистика за Поштата на Северна Македонија, во кој се укажува на повторени неправилности.</w:t>
      </w:r>
    </w:p>
    <w:p w14:paraId="65725B20" w14:textId="77777777" w:rsidR="00A50BBD" w:rsidRPr="00C9671E" w:rsidRDefault="00A50BBD"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Не е постигнат напредок во однос на </w:t>
      </w:r>
      <w:r w:rsidRPr="00C9671E">
        <w:rPr>
          <w:rFonts w:ascii="Times New Roman" w:hAnsi="Times New Roman" w:cs="Times New Roman"/>
          <w:b/>
          <w:sz w:val="24"/>
          <w:szCs w:val="24"/>
        </w:rPr>
        <w:t>меѓусебното признавање на професионалните квалификации</w:t>
      </w:r>
      <w:r w:rsidRPr="00C9671E">
        <w:rPr>
          <w:rFonts w:ascii="Times New Roman" w:hAnsi="Times New Roman" w:cs="Times New Roman"/>
          <w:sz w:val="24"/>
          <w:szCs w:val="24"/>
        </w:rPr>
        <w:t>. Сè уште не е донесен закон за признавање на професионалните квалификации, наменет да се усогласи со правото на ЕУ. Законодавството сè уште треба да се усогласи со Директивата 2005/36/ЕЗ на ЕУ во однос на минималните барања за обука. Списокот со регулирани професии објавен во 2019 година е повлечен од органите заради натамошно усогласување. Како резултат на тоа, не постои транспарентен список на сите регулирани професии, вклучително и нивни оправдувања, а не е завршена ниту валидацијата на податоците во електронскиот регистар. Треба да се зајакне институционалниот капацитет на одделот во Министерството за образование и наука што се занимава со меѓусебно признавање на професионалните квалификации.</w:t>
      </w:r>
    </w:p>
    <w:p w14:paraId="1C0029BA" w14:textId="77777777" w:rsidR="003D4454" w:rsidRPr="00C9671E" w:rsidRDefault="003D4454" w:rsidP="006E4EB0">
      <w:pPr>
        <w:pStyle w:val="Heading3"/>
        <w:spacing w:before="0"/>
      </w:pPr>
      <w:bookmarkStart w:id="145" w:name="_Toc84631585"/>
      <w:bookmarkStart w:id="146" w:name="_Toc84329783"/>
      <w:bookmarkStart w:id="147" w:name="_Toc51252776"/>
      <w:bookmarkStart w:id="148" w:name="_Toc115619795"/>
      <w:bookmarkStart w:id="149" w:name="_Toc117004166"/>
      <w:r w:rsidRPr="00C9671E">
        <w:t>Поглавје 4: Слободно движење на капитал</w:t>
      </w:r>
      <w:bookmarkEnd w:id="145"/>
      <w:bookmarkEnd w:id="146"/>
      <w:bookmarkEnd w:id="147"/>
      <w:bookmarkEnd w:id="148"/>
      <w:bookmarkEnd w:id="149"/>
    </w:p>
    <w:p w14:paraId="4D4D963E" w14:textId="77777777" w:rsidR="003D4454" w:rsidRPr="00C9671E" w:rsidRDefault="003D4454" w:rsidP="006E4EB0">
      <w:pPr>
        <w:spacing w:after="120" w:line="240" w:lineRule="auto"/>
        <w:jc w:val="both"/>
        <w:rPr>
          <w:rFonts w:ascii="Times New Roman" w:eastAsia="Times New Roman" w:hAnsi="Times New Roman" w:cs="Times New Roman"/>
          <w:i/>
          <w:iCs/>
          <w:sz w:val="24"/>
          <w:szCs w:val="24"/>
        </w:rPr>
      </w:pPr>
      <w:r w:rsidRPr="00C9671E">
        <w:rPr>
          <w:rFonts w:ascii="Times New Roman" w:hAnsi="Times New Roman" w:cs="Times New Roman"/>
          <w:i/>
          <w:iCs/>
          <w:sz w:val="24"/>
          <w:szCs w:val="24"/>
        </w:rPr>
        <w:t>Во ЕУ, капиталот и инвестициите мора да бидат во состојба да се движат без ограничување и постојат заеднички правила за прекугранични плаќања. Банките и другите економски оператори применуваат одредени правила за поддршка на борбата против перење пари и финансирање тероризам.</w:t>
      </w:r>
    </w:p>
    <w:p w14:paraId="3489A1EA" w14:textId="2A7F38DA"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Северна Македонија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областа на слободното движење на капитал. Постигнат е </w:t>
      </w:r>
      <w:r w:rsidRPr="00C9671E">
        <w:rPr>
          <w:rFonts w:ascii="Times New Roman" w:hAnsi="Times New Roman" w:cs="Times New Roman"/>
          <w:b/>
          <w:sz w:val="24"/>
          <w:szCs w:val="24"/>
        </w:rPr>
        <w:t>добар напредок</w:t>
      </w:r>
      <w:r w:rsidRPr="00C9671E">
        <w:rPr>
          <w:rFonts w:ascii="Times New Roman" w:hAnsi="Times New Roman" w:cs="Times New Roman"/>
          <w:sz w:val="24"/>
          <w:szCs w:val="24"/>
        </w:rPr>
        <w:t xml:space="preserve"> во натамошното усогласување со правото на ЕУ, како преку донесување законодавство за платните системи, така и преку нов закон за борба против перење пари и финансирање тероризам. Постои потреба брзо да се постапува со спроведувањето на законот и за натамошно јакнење на административниот капацитет. Во наредната година земјата особено треба:</w:t>
      </w:r>
    </w:p>
    <w:p w14:paraId="1F155C3C" w14:textId="77777777" w:rsidR="003D4454" w:rsidRPr="00C9671E" w:rsidRDefault="003D4454" w:rsidP="006E4EB0">
      <w:pPr>
        <w:numPr>
          <w:ilvl w:val="0"/>
          <w:numId w:val="3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да изработи патоказ со активности и рокови за примена на правилата на ЕУ </w:t>
      </w:r>
      <w:bookmarkStart w:id="150" w:name="_Int_RxD13S5h"/>
      <w:r w:rsidRPr="00C9671E">
        <w:rPr>
          <w:rFonts w:ascii="Times New Roman" w:hAnsi="Times New Roman" w:cs="Times New Roman"/>
          <w:sz w:val="24"/>
          <w:szCs w:val="24"/>
        </w:rPr>
        <w:t>во областа на</w:t>
      </w:r>
      <w:bookmarkEnd w:id="150"/>
      <w:r w:rsidRPr="00C9671E">
        <w:rPr>
          <w:rFonts w:ascii="Times New Roman" w:hAnsi="Times New Roman" w:cs="Times New Roman"/>
          <w:sz w:val="24"/>
          <w:szCs w:val="24"/>
        </w:rPr>
        <w:t xml:space="preserve"> слободното движење на капитал, вклучително и стекнување земјоделско земјиште;</w:t>
      </w:r>
    </w:p>
    <w:p w14:paraId="1180358D" w14:textId="6BEC3BD4" w:rsidR="003D4454" w:rsidRPr="00C9671E" w:rsidRDefault="003D4454" w:rsidP="006E4EB0">
      <w:pPr>
        <w:numPr>
          <w:ilvl w:val="0"/>
          <w:numId w:val="3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да почне со спроведување на новото законодавство за </w:t>
      </w:r>
      <w:r>
        <w:rPr>
          <w:rFonts w:ascii="Times New Roman" w:hAnsi="Times New Roman" w:cs="Times New Roman"/>
          <w:sz w:val="24"/>
          <w:szCs w:val="24"/>
        </w:rPr>
        <w:t xml:space="preserve">платежни услуги и </w:t>
      </w:r>
      <w:r w:rsidRPr="00C9671E">
        <w:rPr>
          <w:rFonts w:ascii="Times New Roman" w:hAnsi="Times New Roman" w:cs="Times New Roman"/>
          <w:sz w:val="24"/>
          <w:szCs w:val="24"/>
        </w:rPr>
        <w:t>платни системи, вклучително и со донесување секундарно законодавство;</w:t>
      </w:r>
    </w:p>
    <w:p w14:paraId="7E932E32" w14:textId="60C01D5D" w:rsidR="003D4454" w:rsidRPr="00C9671E" w:rsidRDefault="003D4454" w:rsidP="006E4EB0">
      <w:pPr>
        <w:numPr>
          <w:ilvl w:val="0"/>
          <w:numId w:val="37"/>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ги спроведе новите закони против перење пари и финансирање тероризам во согласност со правото на ЕУ, вклучително и со донесување закони за спроведување.</w:t>
      </w:r>
    </w:p>
    <w:p w14:paraId="6F603B68" w14:textId="17216520" w:rsidR="003D4454" w:rsidRPr="00C9671E" w:rsidRDefault="003D4454" w:rsidP="006E4EB0">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задржа одредени ограничувања за </w:t>
      </w:r>
      <w:r w:rsidRPr="00C9671E">
        <w:rPr>
          <w:rFonts w:ascii="Times New Roman" w:hAnsi="Times New Roman" w:cs="Times New Roman"/>
          <w:b/>
          <w:sz w:val="24"/>
          <w:szCs w:val="24"/>
        </w:rPr>
        <w:t>движењето на капитал и плаќањата</w:t>
      </w:r>
      <w:r w:rsidRPr="00C9671E">
        <w:rPr>
          <w:rFonts w:ascii="Times New Roman" w:hAnsi="Times New Roman" w:cs="Times New Roman"/>
          <w:sz w:val="24"/>
          <w:szCs w:val="24"/>
        </w:rPr>
        <w:t>. На пример, нерезиденти не може да стекнуваат земјоделско земјиште. Така, Северна Македонија доцни со спроведувањето на своите обврски според Спогодбата за стабилизација и асоцијација. Потребно е да се финализира патоказ за примена на правилата на ЕУ во оваа област, во согласност со обврските од Спогодбата за стабилизација и асоцијација.</w:t>
      </w:r>
    </w:p>
    <w:p w14:paraId="59D3FFBD" w14:textId="668E528F" w:rsidR="003D4454" w:rsidRPr="00C9671E" w:rsidRDefault="003D4454" w:rsidP="006E4EB0">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април 2022 година Собранието донесе Закон за </w:t>
      </w:r>
      <w:r>
        <w:rPr>
          <w:rFonts w:ascii="Times New Roman" w:hAnsi="Times New Roman" w:cs="Times New Roman"/>
          <w:sz w:val="24"/>
          <w:szCs w:val="24"/>
        </w:rPr>
        <w:t xml:space="preserve">платежни услуги и </w:t>
      </w:r>
      <w:r w:rsidRPr="00705B41">
        <w:rPr>
          <w:rFonts w:ascii="Times New Roman" w:hAnsi="Times New Roman" w:cs="Times New Roman"/>
          <w:b/>
          <w:sz w:val="24"/>
          <w:szCs w:val="24"/>
        </w:rPr>
        <w:t>платни системи</w:t>
      </w:r>
      <w:r w:rsidRPr="00C9671E">
        <w:rPr>
          <w:rFonts w:ascii="Times New Roman" w:hAnsi="Times New Roman" w:cs="Times New Roman"/>
          <w:sz w:val="24"/>
          <w:szCs w:val="24"/>
        </w:rPr>
        <w:t xml:space="preserve">, </w:t>
      </w:r>
      <w:r w:rsidRPr="00C9671E">
        <w:rPr>
          <w:rFonts w:ascii="Times New Roman" w:hAnsi="Times New Roman" w:cs="Times New Roman"/>
          <w:sz w:val="24"/>
          <w:szCs w:val="24"/>
        </w:rPr>
        <w:lastRenderedPageBreak/>
        <w:t>со цел да се усогласи законодавството со правото на ЕУ, вклучително и Втората директива за плат</w:t>
      </w:r>
      <w:r>
        <w:rPr>
          <w:rFonts w:ascii="Times New Roman" w:hAnsi="Times New Roman" w:cs="Times New Roman"/>
          <w:sz w:val="24"/>
          <w:szCs w:val="24"/>
        </w:rPr>
        <w:t>еж</w:t>
      </w:r>
      <w:r w:rsidRPr="00C9671E">
        <w:rPr>
          <w:rFonts w:ascii="Times New Roman" w:hAnsi="Times New Roman" w:cs="Times New Roman"/>
          <w:sz w:val="24"/>
          <w:szCs w:val="24"/>
        </w:rPr>
        <w:t xml:space="preserve">ни услуги, </w:t>
      </w:r>
      <w:bookmarkStart w:id="151" w:name="_Int_MB95WeuV"/>
      <w:r w:rsidRPr="00C9671E">
        <w:rPr>
          <w:rFonts w:ascii="Times New Roman" w:hAnsi="Times New Roman" w:cs="Times New Roman"/>
          <w:sz w:val="24"/>
          <w:szCs w:val="24"/>
        </w:rPr>
        <w:t>Директивата</w:t>
      </w:r>
      <w:bookmarkEnd w:id="151"/>
      <w:r w:rsidRPr="00C9671E">
        <w:rPr>
          <w:rFonts w:ascii="Times New Roman" w:hAnsi="Times New Roman" w:cs="Times New Roman"/>
          <w:sz w:val="24"/>
          <w:szCs w:val="24"/>
        </w:rPr>
        <w:t xml:space="preserve"> за електронски пари и Директивата за плат</w:t>
      </w:r>
      <w:r>
        <w:rPr>
          <w:rFonts w:ascii="Times New Roman" w:hAnsi="Times New Roman" w:cs="Times New Roman"/>
          <w:sz w:val="24"/>
          <w:szCs w:val="24"/>
        </w:rPr>
        <w:t>еж</w:t>
      </w:r>
      <w:r w:rsidRPr="00C9671E">
        <w:rPr>
          <w:rFonts w:ascii="Times New Roman" w:hAnsi="Times New Roman" w:cs="Times New Roman"/>
          <w:sz w:val="24"/>
          <w:szCs w:val="24"/>
        </w:rPr>
        <w:t>ни сметки</w:t>
      </w:r>
      <w:r w:rsidRPr="00C9671E">
        <w:rPr>
          <w:rFonts w:ascii="Times New Roman" w:hAnsi="Times New Roman" w:cs="Times New Roman"/>
          <w:i/>
          <w:iCs/>
          <w:sz w:val="24"/>
          <w:szCs w:val="24"/>
        </w:rPr>
        <w:t xml:space="preserve">. </w:t>
      </w:r>
      <w:r w:rsidRPr="00C9671E">
        <w:rPr>
          <w:rFonts w:ascii="Times New Roman" w:hAnsi="Times New Roman" w:cs="Times New Roman"/>
          <w:sz w:val="24"/>
          <w:szCs w:val="24"/>
        </w:rPr>
        <w:t xml:space="preserve">Во меѓувреме, Народната банка постигна напредок во подготовката на 20 соодветни подзаконски акти, преку консултации со засегнатите страни. Со Законот платежни услуги </w:t>
      </w:r>
      <w:r>
        <w:rPr>
          <w:rFonts w:ascii="Times New Roman" w:hAnsi="Times New Roman" w:cs="Times New Roman"/>
          <w:sz w:val="24"/>
          <w:szCs w:val="24"/>
        </w:rPr>
        <w:t xml:space="preserve">и платни системи </w:t>
      </w:r>
      <w:r w:rsidRPr="00C9671E">
        <w:rPr>
          <w:rFonts w:ascii="Times New Roman" w:hAnsi="Times New Roman" w:cs="Times New Roman"/>
          <w:sz w:val="24"/>
          <w:szCs w:val="24"/>
        </w:rPr>
        <w:t xml:space="preserve">е воспоставен и </w:t>
      </w:r>
      <w:r>
        <w:rPr>
          <w:rFonts w:ascii="Times New Roman" w:hAnsi="Times New Roman" w:cs="Times New Roman"/>
          <w:sz w:val="24"/>
          <w:szCs w:val="24"/>
        </w:rPr>
        <w:t>унифициран</w:t>
      </w:r>
      <w:r w:rsidRPr="00C9671E">
        <w:rPr>
          <w:rFonts w:ascii="Times New Roman" w:hAnsi="Times New Roman" w:cs="Times New Roman"/>
          <w:sz w:val="24"/>
          <w:szCs w:val="24"/>
        </w:rPr>
        <w:t xml:space="preserve"> регистар на банкарски сметки во рамките на Централниот регистар, како што се бара со Петтата директива на ЕУ за борба против перење пари (АМЛ).</w:t>
      </w:r>
    </w:p>
    <w:p w14:paraId="3506D259" w14:textId="628D9AD2" w:rsidR="003D4454" w:rsidRPr="00C9671E" w:rsidRDefault="003D4454" w:rsidP="006E4EB0">
      <w:pPr>
        <w:widowControl w:val="0"/>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Во </w:t>
      </w:r>
      <w:r w:rsidRPr="00C9671E">
        <w:rPr>
          <w:rFonts w:ascii="Times New Roman" w:hAnsi="Times New Roman" w:cs="Times New Roman"/>
          <w:b/>
          <w:sz w:val="24"/>
          <w:szCs w:val="24"/>
        </w:rPr>
        <w:t>борбата против перењето пари и финансирањето тероризам</w:t>
      </w:r>
      <w:r w:rsidRPr="00C9671E">
        <w:rPr>
          <w:rFonts w:ascii="Times New Roman" w:hAnsi="Times New Roman" w:cs="Times New Roman"/>
          <w:sz w:val="24"/>
          <w:szCs w:val="24"/>
        </w:rPr>
        <w:t xml:space="preserve">, во јуни 2022 година беше донесен новиот Закон за борба против перење пари и финансирање тероризам, што има цел усогласување со Петтата директива </w:t>
      </w:r>
      <w:r>
        <w:rPr>
          <w:rFonts w:ascii="Times New Roman" w:hAnsi="Times New Roman" w:cs="Times New Roman"/>
          <w:sz w:val="24"/>
          <w:szCs w:val="24"/>
        </w:rPr>
        <w:t xml:space="preserve">за </w:t>
      </w:r>
      <w:r w:rsidRPr="00C9671E">
        <w:rPr>
          <w:rFonts w:ascii="Times New Roman" w:hAnsi="Times New Roman" w:cs="Times New Roman"/>
          <w:sz w:val="24"/>
          <w:szCs w:val="24"/>
        </w:rPr>
        <w:t xml:space="preserve">АМЛ, вклучително и криптосредства и постапување по препораките на ФАТФ. Во декември 2021 година Националниот совет за капитални пазари формира работна група предводена од Министерството за финансии </w:t>
      </w:r>
      <w:bookmarkStart w:id="152" w:name="_Int_nhYmt7tW"/>
      <w:r w:rsidRPr="00C9671E">
        <w:rPr>
          <w:rFonts w:ascii="Times New Roman" w:hAnsi="Times New Roman" w:cs="Times New Roman"/>
          <w:sz w:val="24"/>
          <w:szCs w:val="24"/>
        </w:rPr>
        <w:t>за</w:t>
      </w:r>
      <w:bookmarkEnd w:id="152"/>
      <w:r w:rsidRPr="00C9671E">
        <w:rPr>
          <w:rFonts w:ascii="Times New Roman" w:hAnsi="Times New Roman" w:cs="Times New Roman"/>
          <w:sz w:val="24"/>
          <w:szCs w:val="24"/>
        </w:rPr>
        <w:t xml:space="preserve"> регулирање на криптовалутите. Како што се наведува во законот, до декември 2023 година треба да се воспостави регистар на банкарски сметки. Националниот совет за спречување перење пари донесе деловник за работа за посетата на Moneyval во септември 2022 година. Севкупно, продолжува да се зголемува соработката меѓу институциите и се воспоставуваат нови </w:t>
      </w:r>
      <w:r>
        <w:rPr>
          <w:rFonts w:ascii="Times New Roman" w:hAnsi="Times New Roman" w:cs="Times New Roman"/>
          <w:sz w:val="24"/>
          <w:szCs w:val="24"/>
        </w:rPr>
        <w:t>алатки</w:t>
      </w:r>
      <w:r w:rsidRPr="00C9671E">
        <w:rPr>
          <w:rFonts w:ascii="Times New Roman" w:hAnsi="Times New Roman" w:cs="Times New Roman"/>
          <w:sz w:val="24"/>
          <w:szCs w:val="24"/>
        </w:rPr>
        <w:t xml:space="preserve"> за олеснување на известувањето и следењето на сомнителни трансакции, врз основа на пристапот за процена на ризик. Управата за финансиско разузнавање го зајакна својот аналитички капацитет за обработка на податоци и финансиска анализа. Во 2021 година обврзниците поднесоа 315 пријави за сомнителни трансакции (292 во 2020 година). Управата прати 92 извештаја (35 во 2020 година) за случаи на перење пари и финансирање тероризам и 305 известувања (122 во 2020 година) за други случаи до органите за спроведување на закон</w:t>
      </w:r>
      <w:r>
        <w:rPr>
          <w:rFonts w:ascii="Times New Roman" w:hAnsi="Times New Roman" w:cs="Times New Roman"/>
          <w:sz w:val="24"/>
          <w:szCs w:val="24"/>
        </w:rPr>
        <w:t>от</w:t>
      </w:r>
      <w:r w:rsidRPr="00C9671E">
        <w:rPr>
          <w:rFonts w:ascii="Times New Roman" w:hAnsi="Times New Roman" w:cs="Times New Roman"/>
          <w:sz w:val="24"/>
          <w:szCs w:val="24"/>
        </w:rPr>
        <w:t>. Како резултат на тоа, во 2021 година 15 лица беа обвинети и 16 беа осудени за перење пари. (</w:t>
      </w:r>
      <w:r w:rsidRPr="00C9671E">
        <w:rPr>
          <w:rFonts w:ascii="Times New Roman" w:hAnsi="Times New Roman" w:cs="Times New Roman"/>
          <w:i/>
          <w:sz w:val="24"/>
          <w:szCs w:val="24"/>
        </w:rPr>
        <w:t xml:space="preserve">Види, исто така, Поглавје 23 - Правосудство и фундаментални права и Поглавје 24 - Правда, </w:t>
      </w:r>
      <w:bookmarkStart w:id="153" w:name="_Int_OulBEV2M"/>
      <w:r w:rsidRPr="00C9671E">
        <w:rPr>
          <w:rFonts w:ascii="Times New Roman" w:hAnsi="Times New Roman" w:cs="Times New Roman"/>
          <w:i/>
          <w:iCs/>
          <w:sz w:val="24"/>
          <w:szCs w:val="24"/>
        </w:rPr>
        <w:t>слобода</w:t>
      </w:r>
      <w:bookmarkEnd w:id="153"/>
      <w:r w:rsidRPr="00C9671E">
        <w:rPr>
          <w:rFonts w:ascii="Times New Roman" w:hAnsi="Times New Roman" w:cs="Times New Roman"/>
          <w:i/>
          <w:iCs/>
          <w:sz w:val="24"/>
          <w:szCs w:val="24"/>
        </w:rPr>
        <w:t xml:space="preserve"> и безбедност</w:t>
      </w:r>
      <w:r w:rsidRPr="00C9671E">
        <w:rPr>
          <w:rFonts w:ascii="Times New Roman" w:hAnsi="Times New Roman" w:cs="Times New Roman"/>
          <w:sz w:val="24"/>
          <w:szCs w:val="24"/>
        </w:rPr>
        <w:t>)</w:t>
      </w:r>
      <w:r>
        <w:rPr>
          <w:rFonts w:ascii="Times New Roman" w:hAnsi="Times New Roman" w:cs="Times New Roman"/>
          <w:sz w:val="24"/>
          <w:szCs w:val="24"/>
        </w:rPr>
        <w:t>.</w:t>
      </w:r>
    </w:p>
    <w:p w14:paraId="61C06E41" w14:textId="77777777" w:rsidR="003D4454" w:rsidRPr="00C9671E" w:rsidRDefault="003D4454" w:rsidP="006E4EB0">
      <w:pPr>
        <w:pStyle w:val="Heading3"/>
        <w:spacing w:before="0"/>
      </w:pPr>
      <w:bookmarkStart w:id="154" w:name="_Toc84631586"/>
      <w:bookmarkStart w:id="155" w:name="_Toc84329784"/>
      <w:bookmarkStart w:id="156" w:name="_Toc51252778"/>
      <w:bookmarkStart w:id="157" w:name="_Toc9430355"/>
      <w:bookmarkStart w:id="158" w:name="_Toc115619796"/>
      <w:bookmarkStart w:id="159" w:name="_Toc117004167"/>
      <w:r w:rsidRPr="00C9671E">
        <w:t>Поглавје 6: Право на трговски друштва</w:t>
      </w:r>
      <w:bookmarkEnd w:id="154"/>
      <w:bookmarkEnd w:id="155"/>
      <w:bookmarkEnd w:id="156"/>
      <w:bookmarkEnd w:id="157"/>
      <w:bookmarkEnd w:id="158"/>
      <w:bookmarkEnd w:id="159"/>
    </w:p>
    <w:p w14:paraId="2E52B038" w14:textId="6D7952BD"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i/>
          <w:sz w:val="24"/>
          <w:szCs w:val="24"/>
        </w:rPr>
        <w:t>ЕУ има заеднички правила за барањата за основање, регистрирање и обелоденување на едно трговско друштво, со дополнителни правила за сметководствено и финансиско известување и законска ревизија.</w:t>
      </w:r>
    </w:p>
    <w:p w14:paraId="353F30CE"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има </w:t>
      </w:r>
      <w:r w:rsidRPr="00C9671E">
        <w:rPr>
          <w:rFonts w:ascii="Times New Roman" w:hAnsi="Times New Roman" w:cs="Times New Roman"/>
          <w:b/>
          <w:sz w:val="24"/>
          <w:szCs w:val="24"/>
        </w:rPr>
        <w:t>добро ниво на подготвеност</w:t>
      </w:r>
      <w:r w:rsidRPr="00C9671E">
        <w:rPr>
          <w:rFonts w:ascii="Times New Roman" w:hAnsi="Times New Roman" w:cs="Times New Roman"/>
          <w:sz w:val="24"/>
          <w:szCs w:val="24"/>
        </w:rPr>
        <w:t xml:space="preserve"> во областа на правото на трговски друштва. Во текот на извештајниот период е направен </w:t>
      </w:r>
      <w:r w:rsidRPr="00C9671E">
        <w:rPr>
          <w:rFonts w:ascii="Times New Roman" w:hAnsi="Times New Roman" w:cs="Times New Roman"/>
          <w:b/>
          <w:bCs/>
          <w:sz w:val="24"/>
          <w:szCs w:val="24"/>
        </w:rPr>
        <w:t>одреден напредок</w:t>
      </w:r>
      <w:r w:rsidRPr="00C9671E">
        <w:rPr>
          <w:rFonts w:ascii="Times New Roman" w:hAnsi="Times New Roman" w:cs="Times New Roman"/>
          <w:sz w:val="24"/>
          <w:szCs w:val="24"/>
        </w:rPr>
        <w:t xml:space="preserve"> во унапредувањето на законодавството за трговски друштва во согласност со правото на ЕУ, особено преку донесување на Кодексот за корпоративно управување. Потребен е натамошен напредок во областа на корпоративното сметководство и законската ревизија.</w:t>
      </w:r>
    </w:p>
    <w:p w14:paraId="54402E38" w14:textId="6267FE71"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наредната година Северна Македонија особено треба:</w:t>
      </w:r>
    </w:p>
    <w:p w14:paraId="3D39FCF3" w14:textId="77777777" w:rsidR="003D4454" w:rsidRPr="00C9671E" w:rsidRDefault="003D4454" w:rsidP="006E4EB0">
      <w:pPr>
        <w:numPr>
          <w:ilvl w:val="0"/>
          <w:numId w:val="41"/>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дополнително да се усогласи со правото на ЕУ во однос на трговските друштва, вклучително и за поттикнување долгорочен ангажман на акционерите;</w:t>
      </w:r>
    </w:p>
    <w:p w14:paraId="74A9D19D" w14:textId="6D1C4FA7" w:rsidR="003D4454" w:rsidRPr="00C9671E" w:rsidRDefault="003D4454" w:rsidP="006E4EB0">
      <w:pPr>
        <w:numPr>
          <w:ilvl w:val="0"/>
          <w:numId w:val="41"/>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донесе законодавство за сметководство и за ревизија усогласено со најновото право на ЕУ за корпоративно сметководство и законска ревизија;</w:t>
      </w:r>
    </w:p>
    <w:p w14:paraId="31DB5DFC" w14:textId="77777777" w:rsidR="003D4454" w:rsidRPr="00C9671E" w:rsidRDefault="003D4454" w:rsidP="006E4EB0">
      <w:pPr>
        <w:numPr>
          <w:ilvl w:val="0"/>
          <w:numId w:val="41"/>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ја зајакнува улогата на Советот за унапредување и надзор на ревизијата.</w:t>
      </w:r>
    </w:p>
    <w:p w14:paraId="47B16064" w14:textId="1D478A97" w:rsidR="003D4454" w:rsidRPr="00C9671E" w:rsidRDefault="003D4454" w:rsidP="006E4EB0">
      <w:pPr>
        <w:spacing w:after="120" w:line="240" w:lineRule="auto"/>
        <w:jc w:val="both"/>
        <w:rPr>
          <w:rFonts w:ascii="Times New Roman" w:eastAsia="Times New Roman" w:hAnsi="Times New Roman" w:cs="Times New Roman"/>
          <w:color w:val="000000"/>
        </w:rPr>
      </w:pPr>
      <w:r w:rsidRPr="00C9671E">
        <w:rPr>
          <w:rFonts w:ascii="Times New Roman" w:hAnsi="Times New Roman" w:cs="Times New Roman"/>
          <w:sz w:val="24"/>
          <w:szCs w:val="24"/>
        </w:rPr>
        <w:t xml:space="preserve">Во однос на </w:t>
      </w:r>
      <w:r w:rsidRPr="00705B41">
        <w:rPr>
          <w:rFonts w:ascii="Times New Roman" w:hAnsi="Times New Roman" w:cs="Times New Roman"/>
          <w:b/>
          <w:sz w:val="24"/>
          <w:szCs w:val="24"/>
        </w:rPr>
        <w:t>правото на трговски друштва</w:t>
      </w:r>
      <w:r w:rsidRPr="00705B41">
        <w:rPr>
          <w:rFonts w:ascii="Times New Roman" w:hAnsi="Times New Roman" w:cs="Times New Roman"/>
          <w:sz w:val="24"/>
          <w:szCs w:val="24"/>
        </w:rPr>
        <w:t>,</w:t>
      </w:r>
      <w:r w:rsidRPr="00C9671E">
        <w:rPr>
          <w:rFonts w:ascii="Times New Roman" w:hAnsi="Times New Roman" w:cs="Times New Roman"/>
          <w:sz w:val="24"/>
          <w:szCs w:val="24"/>
        </w:rPr>
        <w:t xml:space="preserve"> постои добар напредок во усогласувањето со правото на Е</w:t>
      </w:r>
      <w:r>
        <w:rPr>
          <w:rFonts w:ascii="Times New Roman" w:hAnsi="Times New Roman" w:cs="Times New Roman"/>
          <w:sz w:val="24"/>
          <w:szCs w:val="24"/>
        </w:rPr>
        <w:t>У</w:t>
      </w:r>
      <w:r w:rsidRPr="00C9671E">
        <w:rPr>
          <w:rFonts w:ascii="Times New Roman" w:hAnsi="Times New Roman" w:cs="Times New Roman"/>
          <w:sz w:val="24"/>
          <w:szCs w:val="24"/>
        </w:rPr>
        <w:t xml:space="preserve"> за формирање, регистрирање, </w:t>
      </w:r>
      <w:r>
        <w:rPr>
          <w:rFonts w:ascii="Times New Roman" w:hAnsi="Times New Roman" w:cs="Times New Roman"/>
          <w:sz w:val="24"/>
          <w:szCs w:val="24"/>
        </w:rPr>
        <w:t>спојување</w:t>
      </w:r>
      <w:r w:rsidRPr="00C9671E">
        <w:rPr>
          <w:rFonts w:ascii="Times New Roman" w:hAnsi="Times New Roman" w:cs="Times New Roman"/>
          <w:sz w:val="24"/>
          <w:szCs w:val="24"/>
        </w:rPr>
        <w:t xml:space="preserve"> и поделба на трговските друштва. Ревидираниот Кодекс за корпоративно управување е во сила од октомври 2021 година и неговата примена е задолжителна за котираните друштва, во согласност со Директивата на ЕУ за годишни финансиски извештаи. Потребно е натамошно </w:t>
      </w:r>
      <w:r w:rsidRPr="00C9671E">
        <w:rPr>
          <w:rFonts w:ascii="Times New Roman" w:hAnsi="Times New Roman" w:cs="Times New Roman"/>
          <w:sz w:val="24"/>
          <w:szCs w:val="24"/>
        </w:rPr>
        <w:lastRenderedPageBreak/>
        <w:t>усогласување со правото на ЕУ од 2019 година за употреба на дигитални алатки и прекугранични операции, како и со правилата за поттикнување долгорочен ангажман на акционерите.</w:t>
      </w:r>
    </w:p>
    <w:p w14:paraId="7ACBBFFB" w14:textId="5C9C94E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транспарентноста</w:t>
      </w:r>
      <w:r w:rsidRPr="00C9671E">
        <w:rPr>
          <w:rFonts w:ascii="Times New Roman" w:hAnsi="Times New Roman" w:cs="Times New Roman"/>
          <w:sz w:val="24"/>
          <w:szCs w:val="24"/>
        </w:rPr>
        <w:t>, Правилата за котација на берзата во земјата се во согласност со барањата на Директивата за транспарентност.</w:t>
      </w:r>
    </w:p>
    <w:p w14:paraId="7590F059" w14:textId="2D273B8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За </w:t>
      </w:r>
      <w:r w:rsidRPr="00C9671E">
        <w:rPr>
          <w:rFonts w:ascii="Times New Roman" w:hAnsi="Times New Roman" w:cs="Times New Roman"/>
          <w:b/>
          <w:sz w:val="24"/>
          <w:szCs w:val="24"/>
        </w:rPr>
        <w:t>известувањето на друштвата</w:t>
      </w:r>
      <w:r w:rsidRPr="00C9671E">
        <w:rPr>
          <w:rFonts w:ascii="Times New Roman" w:hAnsi="Times New Roman" w:cs="Times New Roman"/>
          <w:sz w:val="24"/>
          <w:szCs w:val="24"/>
        </w:rPr>
        <w:t xml:space="preserve"> сѐ уште не е донесен нацрт-законот за сметководство, заснован врз широк консензус со Здружението на сметководители и соодветната Стопанска комора. Меѓународните стандарди за финансиско известување </w:t>
      </w:r>
      <w:r>
        <w:rPr>
          <w:rFonts w:ascii="Times New Roman" w:hAnsi="Times New Roman" w:cs="Times New Roman"/>
          <w:sz w:val="24"/>
          <w:szCs w:val="24"/>
        </w:rPr>
        <w:t>се применуваат н</w:t>
      </w:r>
      <w:r w:rsidRPr="00C9671E">
        <w:rPr>
          <w:rFonts w:ascii="Times New Roman" w:hAnsi="Times New Roman" w:cs="Times New Roman"/>
          <w:sz w:val="24"/>
          <w:szCs w:val="24"/>
        </w:rPr>
        <w:t xml:space="preserve">а сите друштва, без намалени обврски за мали и средни претпријатија. Во областа на нефинансиското известување, законската рамка сѐ уште треба да се усогласи со правото на ЕУ. Останува да се донесе нацрт-закон за </w:t>
      </w:r>
      <w:r w:rsidRPr="00C9671E">
        <w:rPr>
          <w:rFonts w:ascii="Times New Roman" w:hAnsi="Times New Roman" w:cs="Times New Roman"/>
          <w:b/>
          <w:sz w:val="24"/>
          <w:szCs w:val="24"/>
        </w:rPr>
        <w:t>ревизија</w:t>
      </w:r>
      <w:r w:rsidRPr="00C9671E">
        <w:rPr>
          <w:rFonts w:ascii="Times New Roman" w:hAnsi="Times New Roman" w:cs="Times New Roman"/>
          <w:sz w:val="24"/>
          <w:szCs w:val="24"/>
        </w:rPr>
        <w:t xml:space="preserve">, како и за истраги и санкции. Видливоста и севкупните резултати на Советот за унапредување и надзор на ревизијата и </w:t>
      </w:r>
      <w:r>
        <w:rPr>
          <w:rFonts w:ascii="Times New Roman" w:hAnsi="Times New Roman" w:cs="Times New Roman"/>
          <w:sz w:val="24"/>
          <w:szCs w:val="24"/>
        </w:rPr>
        <w:t>по</w:t>
      </w:r>
      <w:r w:rsidRPr="00C9671E">
        <w:rPr>
          <w:rFonts w:ascii="Times New Roman" w:hAnsi="Times New Roman" w:cs="Times New Roman"/>
          <w:sz w:val="24"/>
          <w:szCs w:val="24"/>
        </w:rPr>
        <w:t>натаму се слаби. Потребни се натамошни напори за да почне Советот да функционира како вистинск</w:t>
      </w:r>
      <w:r>
        <w:rPr>
          <w:rFonts w:ascii="Times New Roman" w:hAnsi="Times New Roman" w:cs="Times New Roman"/>
          <w:sz w:val="24"/>
          <w:szCs w:val="24"/>
        </w:rPr>
        <w:t>о</w:t>
      </w:r>
      <w:r w:rsidRPr="00C9671E">
        <w:rPr>
          <w:rFonts w:ascii="Times New Roman" w:hAnsi="Times New Roman" w:cs="Times New Roman"/>
          <w:sz w:val="24"/>
          <w:szCs w:val="24"/>
        </w:rPr>
        <w:t xml:space="preserve"> и финансиски независно регулаторно тело.</w:t>
      </w:r>
    </w:p>
    <w:p w14:paraId="54618363" w14:textId="5522F96A" w:rsidR="003D4454" w:rsidRPr="00C9671E" w:rsidRDefault="003D4454" w:rsidP="006E4EB0">
      <w:pPr>
        <w:pStyle w:val="Heading3"/>
      </w:pPr>
      <w:bookmarkStart w:id="160" w:name="_Toc84631587"/>
      <w:bookmarkStart w:id="161" w:name="_Toc84329785"/>
      <w:bookmarkStart w:id="162" w:name="_Toc51252779"/>
      <w:bookmarkStart w:id="163" w:name="_Toc9430356"/>
      <w:bookmarkStart w:id="164" w:name="_Toc115619797"/>
      <w:bookmarkStart w:id="165" w:name="_Toc117004168"/>
      <w:r w:rsidRPr="00C9671E">
        <w:t xml:space="preserve">Поглавје 7: Право </w:t>
      </w:r>
      <w:r>
        <w:t>н</w:t>
      </w:r>
      <w:r w:rsidRPr="00C9671E">
        <w:t>а интелектуална сопственост</w:t>
      </w:r>
      <w:bookmarkEnd w:id="160"/>
      <w:bookmarkEnd w:id="161"/>
      <w:bookmarkEnd w:id="162"/>
      <w:bookmarkEnd w:id="163"/>
      <w:bookmarkEnd w:id="164"/>
      <w:bookmarkEnd w:id="165"/>
    </w:p>
    <w:p w14:paraId="3BFA4CF3" w14:textId="77777777" w:rsidR="003D4454" w:rsidRPr="00C9671E" w:rsidRDefault="003D4454" w:rsidP="006E4EB0">
      <w:pPr>
        <w:spacing w:after="120" w:line="240" w:lineRule="auto"/>
        <w:jc w:val="both"/>
        <w:rPr>
          <w:rFonts w:ascii="Times New Roman" w:hAnsi="Times New Roman" w:cs="Times New Roman"/>
          <w:i/>
          <w:iCs/>
          <w:sz w:val="24"/>
          <w:szCs w:val="24"/>
        </w:rPr>
      </w:pPr>
      <w:r w:rsidRPr="00C9671E">
        <w:rPr>
          <w:rFonts w:ascii="Times New Roman" w:hAnsi="Times New Roman" w:cs="Times New Roman"/>
          <w:i/>
          <w:iCs/>
          <w:sz w:val="24"/>
          <w:szCs w:val="24"/>
        </w:rPr>
        <w:t>ЕУ ги усогласи правилата за правна заштита на правата на интелектуална сопственост (ПИС) и за правна заштита на авторските права и сродните права. Правилата за правна заштита на ПИС опфаќаат, на пример, патенти и трговски марки, дизајни, биотехнолошки пронајдоци и фармацевтски производи. Правилата за правна заштита на авторските права и сродните права опфаќаат, на пример, книги, филмови, компјутерски програми и радиодифузија.</w:t>
      </w:r>
    </w:p>
    <w:p w14:paraId="0C66D3E8" w14:textId="00144128"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останува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оваа област. </w:t>
      </w:r>
      <w:r w:rsidRPr="00C9671E">
        <w:rPr>
          <w:rFonts w:ascii="Times New Roman" w:hAnsi="Times New Roman" w:cs="Times New Roman"/>
          <w:b/>
          <w:sz w:val="24"/>
          <w:szCs w:val="24"/>
        </w:rPr>
        <w:t>Не е постигнат</w:t>
      </w:r>
      <w:r w:rsidRPr="00C9671E">
        <w:rPr>
          <w:rFonts w:ascii="Times New Roman" w:hAnsi="Times New Roman" w:cs="Times New Roman"/>
          <w:sz w:val="24"/>
          <w:szCs w:val="24"/>
        </w:rPr>
        <w:t xml:space="preserve"> напредок и остануваат во важност препораките од минатата година. Потребни се зголемени напори за натамошно усогласување на законодавството со правото на ЕУ во оваа област.</w:t>
      </w:r>
    </w:p>
    <w:p w14:paraId="5FDC25A6" w14:textId="24143DC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наредната година Северна Македонија особено треба:</w:t>
      </w:r>
    </w:p>
    <w:p w14:paraId="1B9D3E41" w14:textId="3792AF25" w:rsidR="003D4454" w:rsidRPr="00C9671E" w:rsidRDefault="003D4454" w:rsidP="006E4EB0">
      <w:pPr>
        <w:numPr>
          <w:ilvl w:val="0"/>
          <w:numId w:val="42"/>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 xml:space="preserve">дополнително да ја подобри правната рамка </w:t>
      </w:r>
      <w:r>
        <w:rPr>
          <w:rFonts w:ascii="Times New Roman" w:hAnsi="Times New Roman" w:cs="Times New Roman"/>
          <w:sz w:val="24"/>
          <w:szCs w:val="24"/>
        </w:rPr>
        <w:t>во областа н</w:t>
      </w:r>
      <w:r w:rsidRPr="00C9671E">
        <w:rPr>
          <w:rFonts w:ascii="Times New Roman" w:hAnsi="Times New Roman" w:cs="Times New Roman"/>
          <w:sz w:val="24"/>
          <w:szCs w:val="24"/>
        </w:rPr>
        <w:t>а интелектуална сопственост, особено системот за управување со колективните права</w:t>
      </w:r>
      <w:r>
        <w:rPr>
          <w:rFonts w:ascii="Times New Roman" w:hAnsi="Times New Roman" w:cs="Times New Roman"/>
          <w:sz w:val="24"/>
          <w:szCs w:val="24"/>
        </w:rPr>
        <w:t>,</w:t>
      </w:r>
      <w:r w:rsidRPr="00C9671E">
        <w:rPr>
          <w:rFonts w:ascii="Times New Roman" w:hAnsi="Times New Roman" w:cs="Times New Roman"/>
          <w:sz w:val="24"/>
          <w:szCs w:val="24"/>
        </w:rPr>
        <w:t xml:space="preserve"> преку усогласување со Директивата за управување со колективните права и правата на индустриска сопственост</w:t>
      </w:r>
      <w:r>
        <w:rPr>
          <w:rFonts w:ascii="Times New Roman" w:hAnsi="Times New Roman" w:cs="Times New Roman"/>
          <w:sz w:val="24"/>
          <w:szCs w:val="24"/>
        </w:rPr>
        <w:t>,</w:t>
      </w:r>
      <w:r w:rsidRPr="00C9671E">
        <w:rPr>
          <w:rFonts w:ascii="Times New Roman" w:hAnsi="Times New Roman" w:cs="Times New Roman"/>
          <w:sz w:val="24"/>
          <w:szCs w:val="24"/>
        </w:rPr>
        <w:t xml:space="preserve"> преку усогласување со Директивата за спроведување, со правото на ЕУ за заштита на дизајни и со Директивата за трговски тајни;</w:t>
      </w:r>
    </w:p>
    <w:p w14:paraId="7A69FB22" w14:textId="77777777" w:rsidR="003D4454" w:rsidRPr="00C9671E" w:rsidRDefault="003D4454" w:rsidP="006E4EB0">
      <w:pPr>
        <w:numPr>
          <w:ilvl w:val="0"/>
          <w:numId w:val="42"/>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 xml:space="preserve">да ја спроведе Стратегијата за интелектуална сопственост за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2021-2026 година и да ја оспособи онлајн информативната платформа за размена на податоци за ПИС меѓу институциите за спроведување на законот.</w:t>
      </w:r>
    </w:p>
    <w:p w14:paraId="4ED4380B" w14:textId="1155FA3B"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w:t>
      </w:r>
      <w:r w:rsidRPr="00C9671E">
        <w:rPr>
          <w:rFonts w:ascii="Times New Roman" w:hAnsi="Times New Roman" w:cs="Times New Roman"/>
          <w:b/>
          <w:sz w:val="24"/>
          <w:szCs w:val="24"/>
        </w:rPr>
        <w:t>авторските и сродните права</w:t>
      </w:r>
      <w:r w:rsidRPr="00C9671E">
        <w:rPr>
          <w:rFonts w:ascii="Times New Roman" w:hAnsi="Times New Roman" w:cs="Times New Roman"/>
          <w:sz w:val="24"/>
          <w:szCs w:val="24"/>
        </w:rPr>
        <w:t xml:space="preserve"> е одложено донесувањето на измените на Законот за авторски права за натамошно усогласување со правото на ЕУ, вклучително и системот за управување со колективни права. Соодветното Одделение за ПИС во Министерството за култура останува со недоволно вработени.</w:t>
      </w:r>
    </w:p>
    <w:p w14:paraId="3E76DF07"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Што се однесува до </w:t>
      </w:r>
      <w:r w:rsidRPr="00C9671E">
        <w:rPr>
          <w:rFonts w:ascii="Times New Roman" w:hAnsi="Times New Roman" w:cs="Times New Roman"/>
          <w:b/>
          <w:sz w:val="24"/>
          <w:szCs w:val="24"/>
        </w:rPr>
        <w:t>правата на индустриска сопственост</w:t>
      </w:r>
      <w:r w:rsidRPr="00C9671E">
        <w:rPr>
          <w:rFonts w:ascii="Times New Roman" w:hAnsi="Times New Roman" w:cs="Times New Roman"/>
          <w:sz w:val="24"/>
          <w:szCs w:val="24"/>
        </w:rPr>
        <w:t>, Државниот завод за индустриска сопственост ја продолжи соработката со ЕУ и меѓународните тела. Органите треба да ја спроведат стратегијата за правата на индустриска сопственост и да го вметнат новиот Закон за интелектуална сопственост. Законодавството за индустриска сопственост треба да биде усогласено, особено со Директивата за спроведување и со Директивата за трговски тајни.</w:t>
      </w:r>
    </w:p>
    <w:p w14:paraId="7156F1FF" w14:textId="2A6D7078"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Во однос на </w:t>
      </w:r>
      <w:r w:rsidRPr="00C9671E">
        <w:rPr>
          <w:rFonts w:ascii="Times New Roman" w:hAnsi="Times New Roman" w:cs="Times New Roman"/>
          <w:b/>
          <w:sz w:val="24"/>
          <w:szCs w:val="24"/>
        </w:rPr>
        <w:t>спроведувањето</w:t>
      </w:r>
      <w:r w:rsidRPr="00C9671E">
        <w:rPr>
          <w:rFonts w:ascii="Times New Roman" w:hAnsi="Times New Roman" w:cs="Times New Roman"/>
          <w:sz w:val="24"/>
          <w:szCs w:val="24"/>
        </w:rPr>
        <w:t>, воспоставена е информативна платформа за органите за спроведување на законот да разменуваат податоци поврзани со ПИС, но таа треба да стане функционална за да обезбеди целосен увид во институционалното постапување со прекршувањата на ПИС. Координативно тело за заштита на интелектуална сопственост постои, но допрва треба да се решат клучните предизвици во однос на ПИС. Царинската управа го одржа своето ниво на заплен</w:t>
      </w:r>
      <w:r>
        <w:rPr>
          <w:rFonts w:ascii="Times New Roman" w:hAnsi="Times New Roman" w:cs="Times New Roman"/>
          <w:sz w:val="24"/>
          <w:szCs w:val="24"/>
        </w:rPr>
        <w:t>ување</w:t>
      </w:r>
      <w:r w:rsidRPr="00C9671E">
        <w:rPr>
          <w:rFonts w:ascii="Times New Roman" w:hAnsi="Times New Roman" w:cs="Times New Roman"/>
          <w:sz w:val="24"/>
          <w:szCs w:val="24"/>
        </w:rPr>
        <w:t xml:space="preserve"> на фалсификувани добра што главно доаѓаат од Турција.</w:t>
      </w:r>
    </w:p>
    <w:p w14:paraId="2F8EB767" w14:textId="77777777" w:rsidR="003D4454" w:rsidRPr="00C9671E" w:rsidRDefault="003D4454" w:rsidP="006E4EB0">
      <w:pPr>
        <w:pStyle w:val="Heading3"/>
      </w:pPr>
      <w:bookmarkStart w:id="166" w:name="_Toc84631588"/>
      <w:bookmarkStart w:id="167" w:name="_Toc84329786"/>
      <w:bookmarkStart w:id="168" w:name="_Toc51252780"/>
      <w:bookmarkStart w:id="169" w:name="_Toc115619798"/>
      <w:bookmarkStart w:id="170" w:name="_Toc117004169"/>
      <w:r w:rsidRPr="00C9671E">
        <w:t>Поглавје 8: Политика на конкуренција</w:t>
      </w:r>
      <w:bookmarkEnd w:id="166"/>
      <w:bookmarkEnd w:id="167"/>
      <w:bookmarkEnd w:id="168"/>
      <w:bookmarkEnd w:id="169"/>
      <w:bookmarkEnd w:id="170"/>
    </w:p>
    <w:p w14:paraId="111EB653" w14:textId="43806690"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i/>
          <w:iCs/>
          <w:sz w:val="24"/>
          <w:szCs w:val="24"/>
        </w:rPr>
        <w:t>Правилата на ЕУ ја штитат слободната конкуренција. Тие вклучуваат антимонополски правила против рестриктивните договори меѓу претпријатијата и злоупотребата на доминантната позиција, а, исто така, вклучуваат правила за концентрации меѓу претпријатијата што значително ја нарушуваат конкуренцијата. Правилата на ЕУ, исто така, утврдуваат систем за контрола на државната помош. На владите им е дозволено да доделуваат државна помош само ако се исполнети рестриктивните услови, со цел да се спречи нарушување на конкуренцијата.</w:t>
      </w:r>
    </w:p>
    <w:p w14:paraId="624541B4"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областа на политиката на конкуренција. </w:t>
      </w:r>
      <w:r w:rsidRPr="00C9671E">
        <w:rPr>
          <w:rFonts w:ascii="Times New Roman" w:hAnsi="Times New Roman" w:cs="Times New Roman"/>
          <w:b/>
          <w:sz w:val="24"/>
          <w:szCs w:val="24"/>
        </w:rPr>
        <w:t>Не е постигнат напредок</w:t>
      </w:r>
      <w:r w:rsidRPr="00C9671E">
        <w:rPr>
          <w:rFonts w:ascii="Times New Roman" w:hAnsi="Times New Roman" w:cs="Times New Roman"/>
          <w:sz w:val="24"/>
          <w:szCs w:val="24"/>
        </w:rPr>
        <w:t>. Законодавната рамка останува во голема мера усогласена со правилата на ЕУ. Недостигот на персонал и буџетските ограничувања остануваат проблем за Комисијата за заштита на конкуренцијата. Евиденцијата на спроведување останува ниска. Препораките од минатата година не се спроведени и остануваат во важност.</w:t>
      </w:r>
    </w:p>
    <w:p w14:paraId="15F66F09"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наредната година земјата особено треба:</w:t>
      </w:r>
    </w:p>
    <w:p w14:paraId="2A0E5B2D" w14:textId="77777777" w:rsidR="003D4454" w:rsidRPr="00C9671E" w:rsidRDefault="003D4454" w:rsidP="006E4EB0">
      <w:pPr>
        <w:numPr>
          <w:ilvl w:val="0"/>
          <w:numId w:val="43"/>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го зајакне административниот и финансискиот капацитет на националниот орган за конкуренција;</w:t>
      </w:r>
    </w:p>
    <w:p w14:paraId="03CC9BF4" w14:textId="77777777" w:rsidR="003D4454" w:rsidRPr="00C9671E" w:rsidRDefault="003D4454" w:rsidP="006E4EB0">
      <w:pPr>
        <w:numPr>
          <w:ilvl w:val="0"/>
          <w:numId w:val="43"/>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ја зголеми транспарентноста на државната помош доделена од Владата;</w:t>
      </w:r>
    </w:p>
    <w:p w14:paraId="5B878182" w14:textId="77777777" w:rsidR="003D4454" w:rsidRPr="00C9671E" w:rsidRDefault="003D4454" w:rsidP="006E4EB0">
      <w:pPr>
        <w:numPr>
          <w:ilvl w:val="0"/>
          <w:numId w:val="43"/>
        </w:numPr>
        <w:pBdr>
          <w:top w:val="single" w:sz="4" w:space="1" w:color="auto"/>
          <w:left w:val="single" w:sz="4" w:space="4" w:color="auto"/>
          <w:bottom w:val="single" w:sz="4" w:space="1" w:color="auto"/>
          <w:right w:val="single" w:sz="4" w:space="4" w:color="auto"/>
        </w:pBdr>
        <w:shd w:val="clear" w:color="auto" w:fill="D9D9D9"/>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дополнително да го усогласи законодавството во областа на државната помош и антимонопол.</w:t>
      </w:r>
    </w:p>
    <w:p w14:paraId="788035F5" w14:textId="77777777" w:rsidR="003D4454" w:rsidRPr="00C9671E" w:rsidRDefault="003D4454"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Антимонопол и спојувања</w:t>
      </w:r>
    </w:p>
    <w:p w14:paraId="69A3011F" w14:textId="2FEB7A48"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szCs w:val="24"/>
        </w:rPr>
        <w:t>Законодавната рамка</w:t>
      </w:r>
      <w:r w:rsidRPr="00C9671E">
        <w:rPr>
          <w:rFonts w:ascii="Times New Roman" w:hAnsi="Times New Roman" w:cs="Times New Roman"/>
          <w:sz w:val="24"/>
          <w:szCs w:val="24"/>
        </w:rPr>
        <w:t xml:space="preserve"> е во голема мера усогласена со правото на ЕУ во областа на антимонопол и спојувања, но законодавството за спроведување допрва треба да се усогласи.</w:t>
      </w:r>
    </w:p>
    <w:p w14:paraId="2D6EEBB0" w14:textId="77BED912"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институционалната рамка</w:t>
      </w:r>
      <w:r w:rsidRPr="00C9671E">
        <w:rPr>
          <w:rFonts w:ascii="Times New Roman" w:hAnsi="Times New Roman" w:cs="Times New Roman"/>
          <w:sz w:val="24"/>
          <w:szCs w:val="24"/>
        </w:rPr>
        <w:t>, Комисијата за заштита на конкуренцијата (КЗК) е одговорна за спроведување на Законот за заштита на конкуренцијата. Таа може да изрекува казни, да предлага правни лекови или да издава мислења доколку се прекршат правилата за конкуренција. КЗК може да одобрува спојувања, со или без услови, или да ги забрани. Нејзините одлуки се обврзувачки и може да бидат предмет на жалба пред Управниот суд.</w:t>
      </w:r>
    </w:p>
    <w:p w14:paraId="13548838" w14:textId="6F9A7B3A"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Капацитетот за спроведување на КЗК е ограничен бидејќи и натаму нема доволно кадар. Нејзиниот годишен буџет останува недоволен. Соодветното спроведување е оневозможено од слабиот капацитет на КЗК, како и на судовите што се занимаваат со случаи на антимонопол.</w:t>
      </w:r>
    </w:p>
    <w:p w14:paraId="2CFA988C"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однос на</w:t>
      </w:r>
      <w:r w:rsidRPr="00C9671E">
        <w:rPr>
          <w:rFonts w:ascii="Times New Roman" w:hAnsi="Times New Roman" w:cs="Times New Roman"/>
          <w:b/>
          <w:sz w:val="24"/>
          <w:szCs w:val="24"/>
        </w:rPr>
        <w:t xml:space="preserve"> спроведувањето</w:t>
      </w:r>
      <w:r w:rsidRPr="00C9671E">
        <w:rPr>
          <w:rFonts w:ascii="Times New Roman" w:hAnsi="Times New Roman" w:cs="Times New Roman"/>
          <w:sz w:val="24"/>
          <w:szCs w:val="24"/>
        </w:rPr>
        <w:t xml:space="preserve">, бројот на одлуки за спојување се зголеми од 60 во 2020 година на 81 во 2021 година, вклучително и одлуки за мали случаи. КЗК донесе пет одлуки за прекршоци, вклучително и една за злоупотреба на доминантна позиција. КЗК треба да ги зголеми теренските инспекции и да го користи инструментот за </w:t>
      </w:r>
      <w:r w:rsidRPr="00C9671E">
        <w:rPr>
          <w:rFonts w:ascii="Times New Roman" w:hAnsi="Times New Roman" w:cs="Times New Roman"/>
          <w:sz w:val="24"/>
          <w:szCs w:val="24"/>
        </w:rPr>
        <w:lastRenderedPageBreak/>
        <w:t>попустливост за да го зајакне спроведувањето. Сè уште постои потреба од дополнително зајакнување на државните судови за примена на антимонопол правила и правила за спојување и за дополнителна обука на судските професионалци во овие области.</w:t>
      </w:r>
    </w:p>
    <w:p w14:paraId="24BB0249" w14:textId="77777777" w:rsidR="003D4454" w:rsidRPr="00C9671E" w:rsidRDefault="003D4454"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Државна помош</w:t>
      </w:r>
    </w:p>
    <w:p w14:paraId="355372AD" w14:textId="14764B4C"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szCs w:val="24"/>
        </w:rPr>
        <w:t>Законодавната рамка</w:t>
      </w:r>
      <w:r w:rsidRPr="00C9671E">
        <w:rPr>
          <w:rFonts w:ascii="Times New Roman" w:hAnsi="Times New Roman" w:cs="Times New Roman"/>
          <w:sz w:val="24"/>
          <w:szCs w:val="24"/>
        </w:rPr>
        <w:t xml:space="preserve"> за државна помош во голема мера ги одразува членовите 107 и 108 од ДФЕУ. Законот за државна помош и законодавството за неговото спроведување треба дополнително да се усогласат со правото на ЕУ. Пописот на државната помош сè уште не е транспарентен.</w:t>
      </w:r>
    </w:p>
    <w:p w14:paraId="5D632D9D" w14:textId="1933536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институционалната рамка</w:t>
      </w:r>
      <w:r w:rsidRPr="00C9671E">
        <w:rPr>
          <w:rFonts w:ascii="Times New Roman" w:hAnsi="Times New Roman" w:cs="Times New Roman"/>
          <w:sz w:val="24"/>
          <w:szCs w:val="24"/>
        </w:rPr>
        <w:t>, КЗК, исто така, е одговорна за спроведување на Законот за државна помош. Комисијата издава необврзувачки мислења и обврзувачки одлуки за државна помош. Досега КЗК никогаш не го искористила овластувањето да поведе истрага по службена должност за мерка за помош за која не е добиено соодветно известување. Во однос на капацитетот за спроведување, сè уште е недоволен персоналот на КЗК што се занимава со контрола на државната помош (вкупно четири лица).</w:t>
      </w:r>
    </w:p>
    <w:p w14:paraId="40D9C6E9" w14:textId="2C347E16"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спроведувањето</w:t>
      </w:r>
      <w:r w:rsidRPr="00C9671E">
        <w:rPr>
          <w:rFonts w:ascii="Times New Roman" w:hAnsi="Times New Roman" w:cs="Times New Roman"/>
          <w:sz w:val="24"/>
          <w:szCs w:val="24"/>
        </w:rPr>
        <w:t xml:space="preserve">, во 2021 година КЗК издаде 17 одлуки и 26 мислења за државна помош, од кои ниту едно не беше негативно или условено. Постојаните барања за мислења и известувања за државна помош поднесени од министерствата ја отсликуваат </w:t>
      </w:r>
      <w:r>
        <w:rPr>
          <w:rFonts w:ascii="Times New Roman" w:hAnsi="Times New Roman" w:cs="Times New Roman"/>
          <w:sz w:val="24"/>
          <w:szCs w:val="24"/>
        </w:rPr>
        <w:t>зголемената</w:t>
      </w:r>
      <w:r w:rsidRPr="00C9671E">
        <w:rPr>
          <w:rFonts w:ascii="Times New Roman" w:hAnsi="Times New Roman" w:cs="Times New Roman"/>
          <w:sz w:val="24"/>
          <w:szCs w:val="24"/>
        </w:rPr>
        <w:t xml:space="preserve"> свест на државните тела кои одобруваат помош за постоењето на правилата за државна помош.</w:t>
      </w:r>
    </w:p>
    <w:p w14:paraId="7DB0C18A" w14:textId="77777777" w:rsidR="003D4454" w:rsidRPr="00C9671E" w:rsidRDefault="003D4454"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Либерализација</w:t>
      </w:r>
    </w:p>
    <w:p w14:paraId="00FDD6BA" w14:textId="74D5D2BA" w:rsidR="003D4454" w:rsidRPr="00C9671E" w:rsidRDefault="003D4454" w:rsidP="006E4EB0">
      <w:pPr>
        <w:spacing w:after="120" w:line="240" w:lineRule="auto"/>
        <w:jc w:val="both"/>
        <w:rPr>
          <w:rFonts w:ascii="Times New Roman" w:hAnsi="Times New Roman" w:cs="Times New Roman"/>
          <w:i/>
          <w:sz w:val="24"/>
          <w:szCs w:val="24"/>
        </w:rPr>
      </w:pPr>
      <w:r w:rsidRPr="00C9671E">
        <w:rPr>
          <w:rFonts w:ascii="Times New Roman" w:hAnsi="Times New Roman" w:cs="Times New Roman"/>
          <w:sz w:val="24"/>
          <w:szCs w:val="24"/>
        </w:rPr>
        <w:t>Антимонополските правила и правилата за државна помош се применуваат и за државни претпријатија и за претпријатија со посебни или ексклузивни права, освен ако нивното применување не го попречува извршувањето на конкретните задачи што им се доделени. Нема докази за постоење монополи од комерцијален карактер во рамките на значењето на член 37 од ДФЕУ.</w:t>
      </w:r>
    </w:p>
    <w:p w14:paraId="25236055" w14:textId="77777777" w:rsidR="003D4454" w:rsidRPr="00C9671E" w:rsidRDefault="003D4454" w:rsidP="006E4EB0">
      <w:pPr>
        <w:pStyle w:val="Heading3"/>
      </w:pPr>
      <w:bookmarkStart w:id="171" w:name="_Toc84631589"/>
      <w:bookmarkStart w:id="172" w:name="_Toc84329787"/>
      <w:bookmarkStart w:id="173" w:name="_Toc51252781"/>
      <w:bookmarkStart w:id="174" w:name="_Toc9430358"/>
      <w:bookmarkStart w:id="175" w:name="_Toc115619799"/>
      <w:bookmarkStart w:id="176" w:name="_Toc117004170"/>
      <w:r w:rsidRPr="00C9671E">
        <w:t>Поглавје 9: Финансиски услуги</w:t>
      </w:r>
      <w:bookmarkEnd w:id="171"/>
      <w:bookmarkEnd w:id="172"/>
      <w:bookmarkEnd w:id="173"/>
      <w:bookmarkEnd w:id="174"/>
      <w:bookmarkEnd w:id="175"/>
      <w:bookmarkEnd w:id="176"/>
    </w:p>
    <w:p w14:paraId="593370A6"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iCs/>
          <w:sz w:val="24"/>
          <w:szCs w:val="24"/>
        </w:rPr>
        <w:t>Правилата на ЕУ имаат цел да обезбедат фер конкуренција меѓу финансиските институции и нивна стабилност, имено, правилата за банкарство, осигурување, дополнителни пензии, инвестициски услуги и пазари на хартии од вредност. Тие вклучуваат правила за овластување, работење и надзор на овие институции.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3D4454" w:rsidRPr="00C9671E" w14:paraId="78FC1D2A" w14:textId="77777777" w:rsidTr="006E4EB0">
        <w:tc>
          <w:tcPr>
            <w:tcW w:w="9322" w:type="dxa"/>
            <w:tcBorders>
              <w:top w:val="single" w:sz="4" w:space="0" w:color="auto"/>
              <w:left w:val="single" w:sz="4" w:space="0" w:color="auto"/>
              <w:bottom w:val="single" w:sz="4" w:space="0" w:color="auto"/>
              <w:right w:val="single" w:sz="4" w:space="0" w:color="auto"/>
            </w:tcBorders>
            <w:shd w:val="clear" w:color="auto" w:fill="D9D9D9"/>
            <w:hideMark/>
          </w:tcPr>
          <w:p w14:paraId="2575787F" w14:textId="4FAD66D0"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финансиските услуги, земјата е </w:t>
            </w:r>
            <w:r w:rsidRPr="00C9671E">
              <w:rPr>
                <w:rFonts w:ascii="Times New Roman" w:hAnsi="Times New Roman" w:cs="Times New Roman"/>
                <w:b/>
                <w:bCs/>
                <w:sz w:val="24"/>
                <w:szCs w:val="24"/>
              </w:rPr>
              <w:t xml:space="preserve">умерено подготвена. </w:t>
            </w:r>
            <w:r w:rsidRPr="00C9671E">
              <w:rPr>
                <w:rFonts w:ascii="Times New Roman" w:hAnsi="Times New Roman" w:cs="Times New Roman"/>
                <w:sz w:val="24"/>
                <w:szCs w:val="24"/>
              </w:rPr>
              <w:t xml:space="preserve">Постигнат е </w:t>
            </w:r>
            <w:r w:rsidRPr="00C9671E">
              <w:rPr>
                <w:rFonts w:ascii="Times New Roman" w:hAnsi="Times New Roman" w:cs="Times New Roman"/>
                <w:b/>
                <w:bCs/>
                <w:sz w:val="24"/>
                <w:szCs w:val="24"/>
              </w:rPr>
              <w:t>одреден напредок</w:t>
            </w:r>
            <w:r w:rsidRPr="00C9671E">
              <w:rPr>
                <w:rFonts w:ascii="Times New Roman" w:hAnsi="Times New Roman" w:cs="Times New Roman"/>
                <w:sz w:val="24"/>
                <w:szCs w:val="24"/>
              </w:rPr>
              <w:t xml:space="preserve"> во однос на делумното усогласување со правото на ЕУ за конечно порамнување и за хартии од вредност и инвестициски фондови. Додека усогласувањето со правото на ЕУ е добро напреднато за надзорната и регулаторната рамка за кредитните институции, заостанува планираното усогласување во областа на осигурувањето и пазарот на капитал. Напред</w:t>
            </w:r>
            <w:r>
              <w:rPr>
                <w:rFonts w:ascii="Times New Roman" w:hAnsi="Times New Roman" w:cs="Times New Roman"/>
                <w:sz w:val="24"/>
                <w:szCs w:val="24"/>
              </w:rPr>
              <w:t>уваше</w:t>
            </w:r>
            <w:r w:rsidRPr="00C9671E">
              <w:rPr>
                <w:rFonts w:ascii="Times New Roman" w:hAnsi="Times New Roman" w:cs="Times New Roman"/>
                <w:sz w:val="24"/>
                <w:szCs w:val="24"/>
              </w:rPr>
              <w:t xml:space="preserve"> спроведувањето на долгорочните стандарди за ликвидност на Базел III. Беа преземени одредени активности за да се спречат неправични банкарски практики и да се унапреди заштитата на потрошувачите. Препораките од минатата година беа само делумно спроведени. Во наредната година земјата особено треба:</w:t>
            </w:r>
          </w:p>
          <w:p w14:paraId="269C5663" w14:textId="77777777" w:rsidR="003D4454" w:rsidRPr="00C9671E" w:rsidRDefault="003D4454" w:rsidP="006E4EB0">
            <w:pPr>
              <w:numPr>
                <w:ilvl w:val="0"/>
                <w:numId w:val="44"/>
              </w:numPr>
              <w:autoSpaceDE w:val="0"/>
              <w:autoSpaceDN w:val="0"/>
              <w:adjustRightInd w:val="0"/>
              <w:spacing w:after="120" w:line="240" w:lineRule="auto"/>
              <w:ind w:left="397" w:hanging="397"/>
              <w:jc w:val="both"/>
              <w:rPr>
                <w:rFonts w:ascii="Times New Roman" w:hAnsi="Times New Roman" w:cs="Times New Roman"/>
                <w:sz w:val="24"/>
                <w:szCs w:val="24"/>
              </w:rPr>
            </w:pPr>
            <w:r w:rsidRPr="00C9671E">
              <w:rPr>
                <w:rFonts w:ascii="Times New Roman" w:hAnsi="Times New Roman" w:cs="Times New Roman"/>
                <w:sz w:val="24"/>
                <w:szCs w:val="24"/>
              </w:rPr>
              <w:t>да донесе закон за решавање на банки и законодавство за спроведување и врз таа основа да ги заврши активностите за назначување орган за решавање на банки;</w:t>
            </w:r>
          </w:p>
          <w:p w14:paraId="56AADAEC" w14:textId="2DAF7D20" w:rsidR="003D4454" w:rsidRPr="00C9671E" w:rsidRDefault="003D4454" w:rsidP="006E4EB0">
            <w:pPr>
              <w:numPr>
                <w:ilvl w:val="0"/>
                <w:numId w:val="44"/>
              </w:numPr>
              <w:autoSpaceDE w:val="0"/>
              <w:autoSpaceDN w:val="0"/>
              <w:adjustRightInd w:val="0"/>
              <w:spacing w:after="120" w:line="240" w:lineRule="auto"/>
              <w:ind w:left="397" w:hanging="397"/>
              <w:jc w:val="both"/>
              <w:rPr>
                <w:rFonts w:ascii="Times New Roman" w:hAnsi="Times New Roman" w:cs="Times New Roman"/>
                <w:sz w:val="24"/>
                <w:szCs w:val="24"/>
              </w:rPr>
            </w:pPr>
            <w:r w:rsidRPr="00C9671E">
              <w:rPr>
                <w:rFonts w:ascii="Times New Roman" w:hAnsi="Times New Roman" w:cs="Times New Roman"/>
                <w:sz w:val="24"/>
                <w:szCs w:val="24"/>
              </w:rPr>
              <w:t>соодветно да се справи и да с</w:t>
            </w:r>
            <w:r w:rsidR="0008150C">
              <w:rPr>
                <w:rFonts w:ascii="Times New Roman" w:hAnsi="Times New Roman" w:cs="Times New Roman"/>
                <w:sz w:val="24"/>
                <w:szCs w:val="24"/>
              </w:rPr>
              <w:t>пречи нерегистрирани и неосигуре</w:t>
            </w:r>
            <w:r w:rsidRPr="00C9671E">
              <w:rPr>
                <w:rFonts w:ascii="Times New Roman" w:hAnsi="Times New Roman" w:cs="Times New Roman"/>
                <w:sz w:val="24"/>
                <w:szCs w:val="24"/>
              </w:rPr>
              <w:t>ни возила;</w:t>
            </w:r>
          </w:p>
          <w:p w14:paraId="739D6A18" w14:textId="77777777" w:rsidR="003D4454" w:rsidRPr="00C9671E" w:rsidRDefault="003D4454" w:rsidP="006E4EB0">
            <w:pPr>
              <w:numPr>
                <w:ilvl w:val="0"/>
                <w:numId w:val="44"/>
              </w:numPr>
              <w:autoSpaceDE w:val="0"/>
              <w:autoSpaceDN w:val="0"/>
              <w:adjustRightInd w:val="0"/>
              <w:spacing w:after="120" w:line="240" w:lineRule="auto"/>
              <w:ind w:left="397" w:hanging="397"/>
              <w:jc w:val="both"/>
              <w:rPr>
                <w:rFonts w:ascii="Times New Roman" w:hAnsi="Times New Roman" w:cs="Times New Roman"/>
                <w:sz w:val="24"/>
                <w:szCs w:val="24"/>
              </w:rPr>
            </w:pPr>
            <w:r w:rsidRPr="00C9671E">
              <w:rPr>
                <w:rFonts w:ascii="Times New Roman" w:hAnsi="Times New Roman" w:cs="Times New Roman"/>
                <w:sz w:val="24"/>
                <w:szCs w:val="24"/>
              </w:rPr>
              <w:lastRenderedPageBreak/>
              <w:t>да продолжи да се осврнува на заштита на потрошувачите и да воспостави финансиски народен правобранител.</w:t>
            </w:r>
          </w:p>
        </w:tc>
      </w:tr>
    </w:tbl>
    <w:p w14:paraId="7AF7DD99" w14:textId="4A4E2AB4"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Во однос на </w:t>
      </w:r>
      <w:r w:rsidRPr="00C9671E">
        <w:rPr>
          <w:rFonts w:ascii="Times New Roman" w:hAnsi="Times New Roman" w:cs="Times New Roman"/>
          <w:b/>
          <w:bCs/>
          <w:sz w:val="24"/>
          <w:szCs w:val="24"/>
        </w:rPr>
        <w:t>банките и финансиските конгломерати</w:t>
      </w:r>
      <w:r w:rsidRPr="00C9671E">
        <w:rPr>
          <w:rFonts w:ascii="Times New Roman" w:hAnsi="Times New Roman" w:cs="Times New Roman"/>
          <w:sz w:val="24"/>
          <w:szCs w:val="24"/>
        </w:rPr>
        <w:t>, во ноември 2021 година Европскиот банкарски орган ја потврди одлуката на Европската комисија да ја смета надзорната и регулаторната рамка применлива за кредитните институции во Северна Македонија како еквивалентна на онаа што се применува во ЕУ. Треба да се зајакнат капацитетите на Министерството за финансии за лиценцирање и надзор на финансиски друштва и даватели на финансиски лизинг.</w:t>
      </w:r>
      <w:r w:rsidRPr="00C9671E">
        <w:rPr>
          <w:rFonts w:ascii="Times New Roman" w:hAnsi="Times New Roman" w:cs="Times New Roman"/>
        </w:rPr>
        <w:t xml:space="preserve"> </w:t>
      </w:r>
      <w:r w:rsidRPr="00C9671E">
        <w:rPr>
          <w:rFonts w:ascii="Times New Roman" w:hAnsi="Times New Roman" w:cs="Times New Roman"/>
          <w:sz w:val="24"/>
          <w:szCs w:val="24"/>
        </w:rPr>
        <w:t>До крајот на 2021 година степенот на задолженост од 10,7 % на банките е многу над минималните барања на ЕБО од 3 %. Се прават тековни напори за да се изготват законски одредби за решавање на банки усогласени со рамката на ЕУ, особено Директивата за закрепнување и решавање на банки. Со одлука од јуни 2021 година на Уставниот суд се укинува приоритетот на побарувања од Фондот за осигурување депозити за банка во стечај. Законот за фондот за осигурување депозити и Законот за банките треба да се изменат за да се подобри осигурувањето на депозитите и да се осврне на загриженоста на Уставниот суд. Новата национална стратегија за финансиско образование и финансиска инклузија донесена во јули 2021 година се осврна кон заштитата на потрошувачите. Народната банка воведе дел на нејзината веб-страница наменет за информации за потрошувачите. Таа издаде упатства за објавувањето стандардизирани податоци на основни банкарски производи од засебни банки со цел да се спречат неправични банкарски практики.</w:t>
      </w:r>
    </w:p>
    <w:p w14:paraId="11FD34D7" w14:textId="0017ED4C"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осигурувањето и професионалните пензии</w:t>
      </w:r>
      <w:r w:rsidRPr="00C9671E">
        <w:rPr>
          <w:rFonts w:ascii="Times New Roman" w:hAnsi="Times New Roman" w:cs="Times New Roman"/>
          <w:sz w:val="24"/>
          <w:szCs w:val="24"/>
        </w:rPr>
        <w:t>, сè уште не е започната постапката за донесување на законот за усогласување со Директивата за солвентност</w:t>
      </w:r>
      <w:bookmarkStart w:id="177" w:name="_Int_yL1FzE56"/>
      <w:r w:rsidRPr="00C9671E">
        <w:rPr>
          <w:rFonts w:ascii="Times New Roman" w:hAnsi="Times New Roman" w:cs="Times New Roman"/>
          <w:sz w:val="24"/>
          <w:szCs w:val="24"/>
        </w:rPr>
        <w:t xml:space="preserve"> II</w:t>
      </w:r>
      <w:bookmarkEnd w:id="177"/>
      <w:r w:rsidRPr="00C9671E">
        <w:rPr>
          <w:rFonts w:ascii="Times New Roman" w:hAnsi="Times New Roman" w:cs="Times New Roman"/>
          <w:sz w:val="24"/>
          <w:szCs w:val="24"/>
        </w:rPr>
        <w:t>. Законодавството сè уште дозволува Министерството за финансии да утврдува премии за осигурување моторни возила, што е спротивно на прав</w:t>
      </w:r>
      <w:r w:rsidR="0008150C">
        <w:rPr>
          <w:rFonts w:ascii="Times New Roman" w:hAnsi="Times New Roman" w:cs="Times New Roman"/>
          <w:sz w:val="24"/>
          <w:szCs w:val="24"/>
        </w:rPr>
        <w:t>ото на ЕУ. Податоците за осигуре</w:t>
      </w:r>
      <w:r w:rsidRPr="00C9671E">
        <w:rPr>
          <w:rFonts w:ascii="Times New Roman" w:hAnsi="Times New Roman" w:cs="Times New Roman"/>
          <w:sz w:val="24"/>
          <w:szCs w:val="24"/>
        </w:rPr>
        <w:t>ни возила се недоследни и не се преземаат системски мерки за да се спречи циркулирањето на неосигурени возила. Ограничувањето од 50 % за инвестирање во недомашни хартии од вредност од страна на пензиските фондови не е во согласност со правото на ЕУ и со втората фаза од Договорот за стабилизација и асоцијација.</w:t>
      </w:r>
    </w:p>
    <w:p w14:paraId="39E0D221" w14:textId="45D877BE" w:rsidR="003D4454" w:rsidRPr="00C9671E" w:rsidRDefault="003D4454" w:rsidP="006E4EB0">
      <w:pPr>
        <w:autoSpaceDE w:val="0"/>
        <w:autoSpaceDN w:val="0"/>
        <w:adjustRightInd w:val="0"/>
        <w:spacing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szCs w:val="24"/>
        </w:rPr>
        <w:t xml:space="preserve">Во однос на </w:t>
      </w:r>
      <w:r w:rsidRPr="00C9671E">
        <w:rPr>
          <w:rFonts w:ascii="Times New Roman" w:hAnsi="Times New Roman" w:cs="Times New Roman"/>
          <w:b/>
          <w:bCs/>
          <w:color w:val="000000"/>
          <w:sz w:val="24"/>
          <w:szCs w:val="24"/>
        </w:rPr>
        <w:t>инфраструктурата на финансискиот пазар,</w:t>
      </w:r>
      <w:r w:rsidRPr="00C9671E">
        <w:rPr>
          <w:rFonts w:ascii="Times New Roman" w:hAnsi="Times New Roman" w:cs="Times New Roman"/>
          <w:color w:val="000000"/>
          <w:sz w:val="24"/>
          <w:szCs w:val="24"/>
        </w:rPr>
        <w:t xml:space="preserve"> законот донесен во април 2022 година е делумно усогласен со Директивата за конечно порамнување. Усогласувањето со Директивата за финансиски колатерал сè уште не е завршено. Во февруари 2022 година беше донесена стратегија за развој на финансискиот пазар што се фокусира кон зголемувањето на набавката на долгорочни хартии од вредност и </w:t>
      </w:r>
      <w:r>
        <w:rPr>
          <w:rFonts w:ascii="Times New Roman" w:hAnsi="Times New Roman" w:cs="Times New Roman"/>
          <w:color w:val="000000"/>
          <w:sz w:val="24"/>
          <w:szCs w:val="24"/>
        </w:rPr>
        <w:t>зголемувањето на побарувачката</w:t>
      </w:r>
      <w:r w:rsidRPr="00C9671E">
        <w:rPr>
          <w:rFonts w:ascii="Times New Roman" w:hAnsi="Times New Roman" w:cs="Times New Roman"/>
          <w:color w:val="000000"/>
          <w:sz w:val="24"/>
          <w:szCs w:val="24"/>
        </w:rPr>
        <w:t xml:space="preserve"> преку поголемо учество на домаќинствата, како и на домашни и странски институционални инвеститори.</w:t>
      </w:r>
    </w:p>
    <w:p w14:paraId="00EA1468" w14:textId="1C7683AD"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color w:val="000000"/>
          <w:sz w:val="24"/>
          <w:szCs w:val="24"/>
        </w:rPr>
        <w:t xml:space="preserve">Во однос на </w:t>
      </w:r>
      <w:r w:rsidRPr="00C9671E">
        <w:rPr>
          <w:rFonts w:ascii="Times New Roman" w:hAnsi="Times New Roman" w:cs="Times New Roman"/>
          <w:b/>
          <w:color w:val="000000"/>
          <w:sz w:val="24"/>
          <w:szCs w:val="24"/>
        </w:rPr>
        <w:t>пазарите на хартии од вредност и инвестициските услуги</w:t>
      </w:r>
      <w:r w:rsidRPr="00C9671E">
        <w:rPr>
          <w:rFonts w:ascii="Times New Roman" w:hAnsi="Times New Roman" w:cs="Times New Roman"/>
          <w:color w:val="000000"/>
          <w:sz w:val="24"/>
          <w:szCs w:val="24"/>
        </w:rPr>
        <w:t xml:space="preserve">, во јули 2021 година се измени Законот за инвестициски фондови. Овој закон, како и донесениот закон за спроведување на Законот за инвестициски фондови и за хартии од вредност има цел да го унапреди усогласувањето со правото на ЕУ, вклучително и за претпријатија за колективни инвестиции во преносливи хартии од вредност, спојување на фондови, структура на главен инвестициски фонд и инвестициски фонд напојувач и постапка за известување. Законодавството </w:t>
      </w:r>
      <w:r>
        <w:rPr>
          <w:rFonts w:ascii="Times New Roman" w:hAnsi="Times New Roman" w:cs="Times New Roman"/>
          <w:color w:val="000000"/>
          <w:sz w:val="24"/>
          <w:szCs w:val="24"/>
        </w:rPr>
        <w:t xml:space="preserve">треба </w:t>
      </w:r>
      <w:r w:rsidRPr="00C9671E">
        <w:rPr>
          <w:rFonts w:ascii="Times New Roman" w:hAnsi="Times New Roman" w:cs="Times New Roman"/>
          <w:color w:val="000000"/>
          <w:sz w:val="24"/>
          <w:szCs w:val="24"/>
        </w:rPr>
        <w:t xml:space="preserve">понатаму да се усогласи со правото на ЕУ, вклучително и </w:t>
      </w:r>
      <w:r w:rsidRPr="00C9671E">
        <w:rPr>
          <w:rFonts w:ascii="Times New Roman" w:hAnsi="Times New Roman" w:cs="Times New Roman"/>
          <w:sz w:val="24"/>
          <w:szCs w:val="24"/>
        </w:rPr>
        <w:t xml:space="preserve">директивата за пазари на финансиски инструменти, директивата за капитални барања </w:t>
      </w:r>
      <w:r w:rsidRPr="00C9671E">
        <w:rPr>
          <w:rFonts w:ascii="Times New Roman" w:hAnsi="Times New Roman" w:cs="Times New Roman"/>
          <w:color w:val="000000"/>
          <w:sz w:val="24"/>
          <w:szCs w:val="24"/>
        </w:rPr>
        <w:t xml:space="preserve">како и да се донесат одредби </w:t>
      </w:r>
      <w:r>
        <w:rPr>
          <w:rFonts w:ascii="Times New Roman" w:hAnsi="Times New Roman" w:cs="Times New Roman"/>
          <w:color w:val="000000"/>
          <w:sz w:val="24"/>
          <w:szCs w:val="24"/>
        </w:rPr>
        <w:t>за</w:t>
      </w:r>
      <w:r w:rsidRPr="00C9671E">
        <w:rPr>
          <w:rFonts w:ascii="Times New Roman" w:hAnsi="Times New Roman" w:cs="Times New Roman"/>
          <w:color w:val="000000"/>
          <w:sz w:val="24"/>
          <w:szCs w:val="24"/>
        </w:rPr>
        <w:t xml:space="preserve"> стапки на ликвидност и солвентност за брокерските куќи.</w:t>
      </w:r>
    </w:p>
    <w:p w14:paraId="2F1D9A25" w14:textId="77777777" w:rsidR="003D4454" w:rsidRPr="00C9671E" w:rsidRDefault="003D4454" w:rsidP="006E4EB0">
      <w:pPr>
        <w:pStyle w:val="Heading3"/>
      </w:pPr>
      <w:bookmarkStart w:id="178" w:name="_Toc84631590"/>
      <w:bookmarkStart w:id="179" w:name="_Toc84329788"/>
      <w:bookmarkStart w:id="180" w:name="_Toc51252798"/>
      <w:bookmarkStart w:id="181" w:name="_Toc9430375"/>
      <w:bookmarkStart w:id="182" w:name="_Toc115619800"/>
      <w:bookmarkStart w:id="183" w:name="_Toc117004171"/>
      <w:r w:rsidRPr="00C9671E">
        <w:t>Поглавје 28: Заштита на потрошувачи и здравствена заштита</w:t>
      </w:r>
      <w:bookmarkEnd w:id="178"/>
      <w:bookmarkEnd w:id="179"/>
      <w:bookmarkEnd w:id="180"/>
      <w:bookmarkEnd w:id="181"/>
      <w:bookmarkEnd w:id="182"/>
      <w:bookmarkEnd w:id="183"/>
    </w:p>
    <w:p w14:paraId="1DAF5868" w14:textId="77777777" w:rsidR="003D4454" w:rsidRPr="00C9671E" w:rsidRDefault="003D4454" w:rsidP="006E4EB0">
      <w:pPr>
        <w:spacing w:after="120" w:line="240" w:lineRule="auto"/>
        <w:jc w:val="both"/>
        <w:rPr>
          <w:rFonts w:ascii="Times New Roman" w:hAnsi="Times New Roman" w:cs="Times New Roman"/>
          <w:i/>
          <w:iCs/>
          <w:sz w:val="24"/>
          <w:szCs w:val="24"/>
        </w:rPr>
      </w:pPr>
      <w:r w:rsidRPr="00C9671E">
        <w:rPr>
          <w:rFonts w:ascii="Times New Roman" w:hAnsi="Times New Roman" w:cs="Times New Roman"/>
          <w:i/>
          <w:iCs/>
          <w:sz w:val="24"/>
          <w:szCs w:val="24"/>
        </w:rPr>
        <w:lastRenderedPageBreak/>
        <w:t>Правилата на ЕУ ги штитат економските интереси на потрошувачите и во однос на безбедност на производите, опасни имитации и одговорност за неисправни производи. ЕУ, исто така, обезбедува високи заеднички стандарди за контрола на тутун, крв, ткива, клетки и органи и лекови за човечка и ветеринарна употреба. ЕУ, исто така, обезбедува високи заеднички стандарди за почитување на правата на пациентите во прекуграничната здравствена заштита и сериозно справување со прекуграничните здравствени закани, вклучително и заразни болести.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4"/>
      </w:tblGrid>
      <w:tr w:rsidR="003D4454" w:rsidRPr="00C9671E" w14:paraId="264AE658" w14:textId="77777777" w:rsidTr="006E4EB0">
        <w:trPr>
          <w:trHeight w:val="274"/>
        </w:trPr>
        <w:tc>
          <w:tcPr>
            <w:tcW w:w="9134" w:type="dxa"/>
            <w:tcBorders>
              <w:top w:val="single" w:sz="4" w:space="0" w:color="auto"/>
              <w:left w:val="single" w:sz="4" w:space="0" w:color="auto"/>
              <w:bottom w:val="single" w:sz="4" w:space="0" w:color="auto"/>
              <w:right w:val="single" w:sz="4" w:space="0" w:color="auto"/>
            </w:tcBorders>
            <w:shd w:val="clear" w:color="auto" w:fill="D9D9D9"/>
            <w:hideMark/>
          </w:tcPr>
          <w:p w14:paraId="6ADF6063" w14:textId="09A63A8D" w:rsidR="003D4454" w:rsidRPr="00C9671E" w:rsidRDefault="003D4454" w:rsidP="006E4EB0">
            <w:pPr>
              <w:spacing w:after="120" w:line="240" w:lineRule="auto"/>
              <w:jc w:val="both"/>
              <w:rPr>
                <w:rFonts w:ascii="Times New Roman" w:hAnsi="Times New Roman" w:cs="Times New Roman"/>
                <w:iCs/>
                <w:sz w:val="24"/>
                <w:szCs w:val="24"/>
              </w:rPr>
            </w:pPr>
            <w:r w:rsidRPr="00C9671E">
              <w:rPr>
                <w:rFonts w:ascii="Times New Roman" w:hAnsi="Times New Roman" w:cs="Times New Roman"/>
                <w:sz w:val="24"/>
                <w:szCs w:val="24"/>
              </w:rPr>
              <w:t xml:space="preserve">Северна Македонија останува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оваа област на заштита на потрошувачите и здравјето. Во извештајниот период беше постигнат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во однос на известувањето за рак и откривање рак, но не и за препораките од минатата година што остануваат во важност. Во наредната година земјата особено треба:</w:t>
            </w:r>
            <w:r w:rsidRPr="00C9671E">
              <w:rPr>
                <w:rFonts w:ascii="Times New Roman" w:hAnsi="Times New Roman" w:cs="Times New Roman"/>
                <w:iCs/>
                <w:sz w:val="24"/>
                <w:szCs w:val="24"/>
              </w:rPr>
              <w:t xml:space="preserve"> </w:t>
            </w:r>
          </w:p>
          <w:p w14:paraId="1681ACEB" w14:textId="77777777" w:rsidR="003D4454" w:rsidRPr="00C9671E" w:rsidRDefault="003D4454" w:rsidP="006E4EB0">
            <w:pPr>
              <w:numPr>
                <w:ilvl w:val="0"/>
                <w:numId w:val="45"/>
              </w:numPr>
              <w:spacing w:after="120" w:line="240" w:lineRule="auto"/>
              <w:ind w:left="397" w:hanging="397"/>
              <w:jc w:val="both"/>
              <w:rPr>
                <w:rFonts w:ascii="Times New Roman" w:hAnsi="Times New Roman" w:cs="Times New Roman"/>
                <w:iCs/>
                <w:sz w:val="24"/>
                <w:szCs w:val="24"/>
              </w:rPr>
            </w:pPr>
            <w:r w:rsidRPr="00C9671E">
              <w:rPr>
                <w:rFonts w:ascii="Times New Roman" w:hAnsi="Times New Roman" w:cs="Times New Roman"/>
                <w:sz w:val="24"/>
                <w:szCs w:val="24"/>
              </w:rPr>
              <w:t>да ја усогласи правната рамка со правото на ЕУ за заштита на потрошувачите и да ги зајакне функционалните структури што служат за заштита на потрошувачите;</w:t>
            </w:r>
          </w:p>
          <w:p w14:paraId="07D3614E" w14:textId="77777777" w:rsidR="003D4454" w:rsidRPr="00C9671E" w:rsidRDefault="003D4454" w:rsidP="006E4EB0">
            <w:pPr>
              <w:numPr>
                <w:ilvl w:val="0"/>
                <w:numId w:val="45"/>
              </w:numPr>
              <w:spacing w:after="120" w:line="240" w:lineRule="auto"/>
              <w:ind w:left="397" w:hanging="397"/>
              <w:jc w:val="both"/>
              <w:rPr>
                <w:rFonts w:ascii="Times New Roman" w:hAnsi="Times New Roman" w:cs="Times New Roman"/>
                <w:iCs/>
                <w:sz w:val="24"/>
                <w:szCs w:val="24"/>
              </w:rPr>
            </w:pPr>
            <w:r w:rsidRPr="00C9671E">
              <w:rPr>
                <w:rFonts w:ascii="Times New Roman" w:hAnsi="Times New Roman" w:cs="Times New Roman"/>
                <w:sz w:val="24"/>
                <w:szCs w:val="24"/>
              </w:rPr>
              <w:t>да ги интензивира напорите за контрола на тутунот со ефективно спроведување на правото на ЕУ за оваа материја и со ратификување на Протоколот за елиминација на недозволена трговија со тутунски производи;</w:t>
            </w:r>
          </w:p>
          <w:p w14:paraId="5348AE13" w14:textId="77777777" w:rsidR="003D4454" w:rsidRPr="00C9671E" w:rsidRDefault="003D4454" w:rsidP="006E4EB0">
            <w:pPr>
              <w:numPr>
                <w:ilvl w:val="0"/>
                <w:numId w:val="45"/>
              </w:numPr>
              <w:spacing w:after="120" w:line="240" w:lineRule="auto"/>
              <w:ind w:left="397" w:hanging="397"/>
              <w:jc w:val="both"/>
              <w:rPr>
                <w:rFonts w:ascii="Times New Roman" w:hAnsi="Times New Roman" w:cs="Times New Roman"/>
                <w:iCs/>
                <w:sz w:val="24"/>
                <w:szCs w:val="24"/>
              </w:rPr>
            </w:pPr>
            <w:r w:rsidRPr="00C9671E">
              <w:rPr>
                <w:rFonts w:ascii="Times New Roman" w:hAnsi="Times New Roman" w:cs="Times New Roman"/>
                <w:sz w:val="24"/>
                <w:szCs w:val="24"/>
              </w:rPr>
              <w:t>да обезбеди соодветно финансирање и специјализирани знаења за рано откривање рак и ретки болести врз основа на податоците од регистрите.</w:t>
            </w:r>
          </w:p>
        </w:tc>
      </w:tr>
    </w:tbl>
    <w:p w14:paraId="227396D6" w14:textId="77777777" w:rsidR="003D4454" w:rsidRPr="00C9671E" w:rsidRDefault="003D4454"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Заштита на потрошувачите</w:t>
      </w:r>
    </w:p>
    <w:p w14:paraId="476E538D"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Не е забележан напредок во донесување на новиот закон за </w:t>
      </w:r>
      <w:r w:rsidRPr="00C9671E">
        <w:rPr>
          <w:rFonts w:ascii="Times New Roman" w:hAnsi="Times New Roman" w:cs="Times New Roman"/>
          <w:b/>
          <w:sz w:val="24"/>
          <w:szCs w:val="24"/>
        </w:rPr>
        <w:t>заштита на потрошувачите</w:t>
      </w:r>
      <w:r w:rsidRPr="00C9671E">
        <w:rPr>
          <w:rFonts w:ascii="Times New Roman" w:hAnsi="Times New Roman" w:cs="Times New Roman"/>
          <w:sz w:val="24"/>
          <w:szCs w:val="24"/>
        </w:rPr>
        <w:t xml:space="preserve"> и не е забележан напредок во градењето на капацитетите или во јавните инвестиции во оваа област, иако одреден напредок е постигнат во усогласувањето на националните правила за безбедност на производите со правото на ЕУ. </w:t>
      </w:r>
      <w:bookmarkStart w:id="184" w:name="_Hlk104899979"/>
      <w:r w:rsidRPr="00C9671E">
        <w:rPr>
          <w:rFonts w:ascii="Times New Roman" w:hAnsi="Times New Roman" w:cs="Times New Roman"/>
          <w:sz w:val="24"/>
          <w:szCs w:val="24"/>
        </w:rPr>
        <w:t>Допрва треба да се донесе следната тригодишна стратегија за заштита на потрошувачите</w:t>
      </w:r>
      <w:bookmarkEnd w:id="184"/>
      <w:r w:rsidRPr="00C9671E">
        <w:rPr>
          <w:rFonts w:ascii="Times New Roman" w:hAnsi="Times New Roman" w:cs="Times New Roman"/>
          <w:sz w:val="24"/>
          <w:szCs w:val="24"/>
        </w:rPr>
        <w:t>. Контролите извршени од Државниот пазарен инспекторат се зголемија во извештајниот период на вкупно 3.566 контроли. Сè уште не е развиена веб-платформата што обезбедува информации за заштита на потрошувачите. Програмата за медијација е сè уште скапа и тешко достапна за потрошувачите.</w:t>
      </w:r>
    </w:p>
    <w:p w14:paraId="6E8830D2"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2021 година Државниот пазарен инспекторат според </w:t>
      </w:r>
      <w:r w:rsidRPr="00C9671E">
        <w:rPr>
          <w:rFonts w:ascii="Times New Roman" w:hAnsi="Times New Roman" w:cs="Times New Roman"/>
          <w:b/>
          <w:bCs/>
          <w:sz w:val="24"/>
          <w:szCs w:val="24"/>
        </w:rPr>
        <w:t>Законот за општа безбедност на производите</w:t>
      </w:r>
      <w:r w:rsidRPr="00C9671E">
        <w:rPr>
          <w:rFonts w:ascii="Times New Roman" w:hAnsi="Times New Roman" w:cs="Times New Roman"/>
          <w:sz w:val="24"/>
          <w:szCs w:val="24"/>
        </w:rPr>
        <w:t xml:space="preserve"> изврши 473 инспекции (пораст во однос на 428 во 2020 година) и 131 инспекција според Законот за градежни производи (пораст во однос на 20 во 2020 година). По овие инспекции, Инспекторатот повлече штетни производи од пазарот, главно играчки, светла, заштитни ракавици, шлемови за мотоцикли и детска облека. Инспекторатот има 278 вработени, но има недоволен број лиценцирани инспектори (само 171) и голем дел од персоналот е близу до возраста за пензионирање. </w:t>
      </w:r>
      <w:r w:rsidRPr="00C9671E">
        <w:rPr>
          <w:rFonts w:ascii="Times New Roman" w:hAnsi="Times New Roman" w:cs="Times New Roman"/>
          <w:color w:val="000000"/>
          <w:sz w:val="24"/>
          <w:szCs w:val="24"/>
        </w:rPr>
        <w:t xml:space="preserve">Во однос на </w:t>
      </w:r>
      <w:r w:rsidRPr="00C9671E">
        <w:rPr>
          <w:rFonts w:ascii="Times New Roman" w:hAnsi="Times New Roman" w:cs="Times New Roman"/>
          <w:b/>
          <w:bCs/>
          <w:color w:val="000000"/>
          <w:sz w:val="24"/>
          <w:szCs w:val="24"/>
        </w:rPr>
        <w:t xml:space="preserve">прашања </w:t>
      </w:r>
      <w:r>
        <w:rPr>
          <w:rFonts w:ascii="Times New Roman" w:hAnsi="Times New Roman" w:cs="Times New Roman"/>
          <w:b/>
          <w:bCs/>
          <w:color w:val="000000"/>
          <w:sz w:val="24"/>
          <w:szCs w:val="24"/>
        </w:rPr>
        <w:t xml:space="preserve">кои </w:t>
      </w:r>
      <w:r w:rsidRPr="00C9671E">
        <w:rPr>
          <w:rFonts w:ascii="Times New Roman" w:hAnsi="Times New Roman" w:cs="Times New Roman"/>
          <w:b/>
          <w:bCs/>
          <w:color w:val="000000"/>
          <w:sz w:val="24"/>
          <w:szCs w:val="24"/>
        </w:rPr>
        <w:t>не</w:t>
      </w:r>
      <w:r>
        <w:rPr>
          <w:rFonts w:ascii="Times New Roman" w:hAnsi="Times New Roman" w:cs="Times New Roman"/>
          <w:b/>
          <w:bCs/>
          <w:color w:val="000000"/>
          <w:sz w:val="24"/>
          <w:szCs w:val="24"/>
        </w:rPr>
        <w:t xml:space="preserve"> се </w:t>
      </w:r>
      <w:r w:rsidRPr="00C9671E">
        <w:rPr>
          <w:rFonts w:ascii="Times New Roman" w:hAnsi="Times New Roman" w:cs="Times New Roman"/>
          <w:b/>
          <w:bCs/>
          <w:color w:val="000000"/>
          <w:sz w:val="24"/>
          <w:szCs w:val="24"/>
        </w:rPr>
        <w:t>поврзани со безбедноста,</w:t>
      </w:r>
      <w:r w:rsidRPr="00C9671E">
        <w:rPr>
          <w:rFonts w:ascii="Times New Roman" w:hAnsi="Times New Roman" w:cs="Times New Roman"/>
          <w:sz w:val="24"/>
          <w:szCs w:val="24"/>
        </w:rPr>
        <w:t xml:space="preserve"> потребни се дополнителни напори за да се дефинира упатството и постапките за жалби на потрошувачите и средства за надоместок.</w:t>
      </w:r>
    </w:p>
    <w:p w14:paraId="79C5D801" w14:textId="77777777" w:rsidR="003D4454" w:rsidRPr="00C9671E" w:rsidRDefault="003D4454" w:rsidP="006E4EB0">
      <w:pPr>
        <w:spacing w:after="120" w:line="240" w:lineRule="auto"/>
        <w:jc w:val="both"/>
        <w:rPr>
          <w:rFonts w:ascii="Times New Roman" w:eastAsia="Times New Roman" w:hAnsi="Times New Roman" w:cs="Times New Roman"/>
          <w:sz w:val="24"/>
          <w:szCs w:val="24"/>
          <w:u w:val="single"/>
        </w:rPr>
      </w:pPr>
      <w:r w:rsidRPr="00C9671E">
        <w:rPr>
          <w:rFonts w:ascii="Times New Roman" w:hAnsi="Times New Roman" w:cs="Times New Roman"/>
          <w:sz w:val="24"/>
          <w:szCs w:val="24"/>
          <w:u w:val="single"/>
        </w:rPr>
        <w:t>Јавно здравје</w:t>
      </w:r>
    </w:p>
    <w:p w14:paraId="35FC97F9" w14:textId="4920D743" w:rsidR="003D4454" w:rsidRPr="00C9671E" w:rsidRDefault="003D4454" w:rsidP="006E4EB0">
      <w:pPr>
        <w:autoSpaceDE w:val="0"/>
        <w:autoSpaceDN w:val="0"/>
        <w:adjustRightInd w:val="0"/>
        <w:spacing w:after="120" w:line="240" w:lineRule="auto"/>
        <w:jc w:val="both"/>
        <w:rPr>
          <w:rFonts w:ascii="Times New Roman" w:eastAsia="Times New Roman" w:hAnsi="Times New Roman" w:cs="Times New Roman"/>
          <w:sz w:val="24"/>
          <w:szCs w:val="24"/>
        </w:rPr>
      </w:pPr>
      <w:r w:rsidRPr="00C9671E">
        <w:rPr>
          <w:rFonts w:ascii="Times New Roman" w:hAnsi="Times New Roman" w:cs="Times New Roman"/>
          <w:b/>
          <w:sz w:val="24"/>
          <w:szCs w:val="24"/>
        </w:rPr>
        <w:t>Здравствениот</w:t>
      </w:r>
      <w:r w:rsidRPr="00C9671E">
        <w:rPr>
          <w:rFonts w:ascii="Times New Roman" w:hAnsi="Times New Roman" w:cs="Times New Roman"/>
          <w:sz w:val="24"/>
          <w:szCs w:val="24"/>
        </w:rPr>
        <w:t xml:space="preserve"> сектор во Северна Македонија сè уште се соочува со загуба на медицински персонал со оглед на тоа дека медицинските сестри и специјалистите си заминуваат или во приватниот сектор или заминуваат да работат надвор од земјата. Ова придонесува за проблеми, како што се пристап до специјалисти, покривањето трошоци за здравствена грижа од сопствен џеб останува на високо ниво, сè уште има недостиг на професионална обука за користење на дел од напредната здравствена опрема. </w:t>
      </w:r>
      <w:r w:rsidRPr="00C9671E">
        <w:rPr>
          <w:rFonts w:ascii="Times New Roman" w:hAnsi="Times New Roman" w:cs="Times New Roman"/>
          <w:sz w:val="24"/>
          <w:szCs w:val="24"/>
        </w:rPr>
        <w:lastRenderedPageBreak/>
        <w:t xml:space="preserve">Стратегијата за здравство за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2021-2030 година и нејзиниот акциски план се изготвени за да се осврнат на некои од овие прашања и да обезбедат ефикасна и ефективна здравствена грижа со висок квалитет, вклучително и здравствена грижа на ниво на домашна посета.</w:t>
      </w:r>
    </w:p>
    <w:p w14:paraId="365EFDCE" w14:textId="0BEF0D58"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Не е забележан напредок за </w:t>
      </w:r>
      <w:r w:rsidRPr="00C9671E">
        <w:rPr>
          <w:rFonts w:ascii="Times New Roman" w:hAnsi="Times New Roman" w:cs="Times New Roman"/>
          <w:b/>
          <w:sz w:val="24"/>
          <w:szCs w:val="24"/>
        </w:rPr>
        <w:t>контрола на тутунот</w:t>
      </w:r>
      <w:r w:rsidRPr="00C9671E">
        <w:rPr>
          <w:rFonts w:ascii="Times New Roman" w:hAnsi="Times New Roman" w:cs="Times New Roman"/>
          <w:sz w:val="24"/>
          <w:szCs w:val="24"/>
        </w:rPr>
        <w:t>. Воспоставена е институционална и правна рамка што е усогласена со правото на ЕУ, но не е систематски спроведена - пушењето на јавни места и во ресторани треба да се санкционира во согласност со правото на ЕУ. Северна Македонија сè уште не го ратификувала Протоколот за елиминирање на недозволената трговија со производи од тутун.</w:t>
      </w:r>
    </w:p>
    <w:p w14:paraId="753B9336" w14:textId="33755DF9"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е делумно усогласена со правото на ЕУ за </w:t>
      </w:r>
      <w:r w:rsidRPr="00C9671E">
        <w:rPr>
          <w:rFonts w:ascii="Times New Roman" w:hAnsi="Times New Roman" w:cs="Times New Roman"/>
          <w:b/>
          <w:sz w:val="24"/>
          <w:szCs w:val="24"/>
        </w:rPr>
        <w:t>заразни болести</w:t>
      </w:r>
      <w:r w:rsidRPr="00C9671E">
        <w:rPr>
          <w:rFonts w:ascii="Times New Roman" w:hAnsi="Times New Roman" w:cs="Times New Roman"/>
          <w:sz w:val="24"/>
          <w:szCs w:val="24"/>
        </w:rPr>
        <w:t xml:space="preserve">. Националната стратегија за контрола на антимикробната резистенција за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2019-2023 година е во согласност со заклучоците на Советот на Европската Унија. Северна Македонија постепено закрепнува од пандемијата на КОВИД-19 и бројот на позитивни случаи, хоспитализирани пациенти и смртни случаи постојано се намалува. Земјата ги укина повеќето превентивни мерки. Властите известуваат дека 75 % од населението се излекувало од КОВИД-19 и смета дека е добиен природен имунитет, 47 % од населението примиле две дози вакцини за КОВИД-19, а 7 % примиле трета доза. Северна Македонија стана членка на Договорот на ЕУ за заеднички набавки за медицински противмерки и набљудувач во Комитетот за здравствена заштита на ЕУ. Таа доставува информации до системот за прибирање податоци за КОВИД-19 на Комисијата и именуваше дописник во Европскиот центар за контрола и превенција на болести.</w:t>
      </w:r>
    </w:p>
    <w:p w14:paraId="098B747C" w14:textId="38A2E5BC"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одреден напредок во </w:t>
      </w:r>
      <w:r>
        <w:rPr>
          <w:rFonts w:ascii="Times New Roman" w:hAnsi="Times New Roman" w:cs="Times New Roman"/>
          <w:sz w:val="24"/>
          <w:szCs w:val="24"/>
        </w:rPr>
        <w:t>однос</w:t>
      </w:r>
      <w:r w:rsidRPr="00C9671E">
        <w:rPr>
          <w:rFonts w:ascii="Times New Roman" w:hAnsi="Times New Roman" w:cs="Times New Roman"/>
          <w:sz w:val="24"/>
          <w:szCs w:val="24"/>
        </w:rPr>
        <w:t xml:space="preserve"> на </w:t>
      </w:r>
      <w:r w:rsidRPr="00C9671E">
        <w:rPr>
          <w:rFonts w:ascii="Times New Roman" w:hAnsi="Times New Roman" w:cs="Times New Roman"/>
          <w:b/>
          <w:sz w:val="24"/>
          <w:szCs w:val="24"/>
        </w:rPr>
        <w:t>крв, ткива, клетки и органи</w:t>
      </w:r>
      <w:r w:rsidRPr="00C9671E">
        <w:rPr>
          <w:rFonts w:ascii="Times New Roman" w:hAnsi="Times New Roman" w:cs="Times New Roman"/>
          <w:sz w:val="24"/>
          <w:szCs w:val="24"/>
        </w:rPr>
        <w:t>. Законот за безбедност во снабдувањето со крв е усогласен со правото на ЕУ. Нема центри за собирање плазма, нема постројки за фракционирање плазма, иако плазмафереза се извршува на Институтот за трансфузиона медицина. Бројот на извршени трансплантации во 2021 година повторно се зголеми</w:t>
      </w:r>
      <w:r w:rsidRPr="00C9671E">
        <w:rPr>
          <w:rFonts w:ascii="Times New Roman" w:hAnsi="Times New Roman" w:cs="Times New Roman"/>
          <w:color w:val="000000"/>
          <w:sz w:val="24"/>
          <w:szCs w:val="24"/>
          <w:shd w:val="clear" w:color="auto" w:fill="FFFFFF"/>
        </w:rPr>
        <w:t>. Воспоставена е банка за коскено ткиво каде што се собира материјал што се користи за трансплантација. Што се однесува до</w:t>
      </w:r>
      <w:r w:rsidRPr="00C9671E">
        <w:rPr>
          <w:rFonts w:ascii="Times New Roman" w:hAnsi="Times New Roman" w:cs="Times New Roman"/>
          <w:sz w:val="24"/>
          <w:szCs w:val="24"/>
        </w:rPr>
        <w:t xml:space="preserve"> </w:t>
      </w:r>
      <w:r w:rsidRPr="00C9671E">
        <w:rPr>
          <w:rFonts w:ascii="Times New Roman" w:hAnsi="Times New Roman" w:cs="Times New Roman"/>
          <w:b/>
          <w:sz w:val="24"/>
          <w:szCs w:val="24"/>
        </w:rPr>
        <w:t xml:space="preserve">пациентите во прекуграничната здравствена заштита, </w:t>
      </w:r>
      <w:r w:rsidRPr="00C9671E">
        <w:rPr>
          <w:rFonts w:ascii="Times New Roman" w:hAnsi="Times New Roman" w:cs="Times New Roman"/>
          <w:sz w:val="24"/>
          <w:szCs w:val="24"/>
        </w:rPr>
        <w:t>националното законодавство сè уште не е усогласено со правото на ЕУ.</w:t>
      </w:r>
    </w:p>
    <w:p w14:paraId="460061E2"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здравствената нееднаквост</w:t>
      </w:r>
      <w:r w:rsidRPr="00C9671E">
        <w:rPr>
          <w:rFonts w:ascii="Times New Roman" w:hAnsi="Times New Roman" w:cs="Times New Roman"/>
          <w:sz w:val="24"/>
          <w:szCs w:val="24"/>
        </w:rPr>
        <w:t xml:space="preserve">, програмата за активна здравствена заштита им овозможува пристап до здравствена заштита на неколку целни групи, вклучувајќи ја и ромската заедница, а луѓето што живеат во оддалечени области можат да бидат посетени </w:t>
      </w:r>
      <w:r>
        <w:rPr>
          <w:rFonts w:ascii="Times New Roman" w:hAnsi="Times New Roman" w:cs="Times New Roman"/>
          <w:sz w:val="24"/>
          <w:szCs w:val="24"/>
        </w:rPr>
        <w:t>о</w:t>
      </w:r>
      <w:r w:rsidRPr="00C9671E">
        <w:rPr>
          <w:rFonts w:ascii="Times New Roman" w:hAnsi="Times New Roman" w:cs="Times New Roman"/>
          <w:sz w:val="24"/>
          <w:szCs w:val="24"/>
        </w:rPr>
        <w:t xml:space="preserve">д </w:t>
      </w:r>
      <w:r>
        <w:rPr>
          <w:rFonts w:ascii="Times New Roman" w:hAnsi="Times New Roman" w:cs="Times New Roman"/>
          <w:sz w:val="24"/>
          <w:szCs w:val="24"/>
        </w:rPr>
        <w:t xml:space="preserve">страна на </w:t>
      </w:r>
      <w:r w:rsidRPr="00C9671E">
        <w:rPr>
          <w:rFonts w:ascii="Times New Roman" w:hAnsi="Times New Roman" w:cs="Times New Roman"/>
          <w:sz w:val="24"/>
          <w:szCs w:val="24"/>
        </w:rPr>
        <w:t xml:space="preserve">лекари. Министерството за здравство има програма за ХИВ/СИДА со која се обезбедуваат средства за тестирање и основни тестирања за следење, а антиретровирусна терапија им е достапна на сите дијагностицирани лица. Сепак, севкупниот буџет за превенција од ХИВ/СИДА е намален за 40 %, што претставува закана за терапијата на лица што живеат со ХИВ/СИДА и за напорите за превенција на ХИВ/СИДА. Главните корисници на овие средства се невладини организации што работат директно со ризичните групи. Новата стратегија за борба против ХИВ сè уште не е донесена. Финансирањето за </w:t>
      </w:r>
      <w:r w:rsidRPr="00C9671E">
        <w:rPr>
          <w:rFonts w:ascii="Times New Roman" w:hAnsi="Times New Roman" w:cs="Times New Roman"/>
          <w:b/>
          <w:sz w:val="24"/>
          <w:szCs w:val="24"/>
        </w:rPr>
        <w:t>скрининг за рак</w:t>
      </w:r>
      <w:r w:rsidRPr="00C9671E">
        <w:rPr>
          <w:rFonts w:ascii="Times New Roman" w:hAnsi="Times New Roman" w:cs="Times New Roman"/>
          <w:sz w:val="24"/>
          <w:szCs w:val="24"/>
        </w:rPr>
        <w:t xml:space="preserve"> останува недоволно. Националниот регистар за рак е функционален и постојано се полни со нови податоци. Националната програма за рано откривање рак е функционална. Во однос на </w:t>
      </w:r>
      <w:r w:rsidRPr="00C9671E">
        <w:rPr>
          <w:rFonts w:ascii="Times New Roman" w:hAnsi="Times New Roman" w:cs="Times New Roman"/>
          <w:b/>
          <w:sz w:val="24"/>
          <w:szCs w:val="24"/>
        </w:rPr>
        <w:t>лековите за употреба од страна на луѓето и за ветеринарна употреба</w:t>
      </w:r>
      <w:r w:rsidRPr="00C9671E">
        <w:rPr>
          <w:rFonts w:ascii="Times New Roman" w:hAnsi="Times New Roman" w:cs="Times New Roman"/>
          <w:sz w:val="24"/>
          <w:szCs w:val="24"/>
        </w:rPr>
        <w:t>, националното законодавство треба дополнително да се усогласи со правото на ЕУ. Националната стратегија за периодот</w:t>
      </w:r>
      <w:r>
        <w:rPr>
          <w:rFonts w:ascii="Times New Roman" w:hAnsi="Times New Roman" w:cs="Times New Roman"/>
          <w:sz w:val="24"/>
          <w:szCs w:val="24"/>
        </w:rPr>
        <w:t xml:space="preserve"> од</w:t>
      </w:r>
      <w:r w:rsidRPr="00C9671E">
        <w:rPr>
          <w:rFonts w:ascii="Times New Roman" w:hAnsi="Times New Roman" w:cs="Times New Roman"/>
          <w:sz w:val="24"/>
          <w:szCs w:val="24"/>
        </w:rPr>
        <w:t xml:space="preserve"> 2021-2030 година ги опфаќа аспектите на </w:t>
      </w:r>
      <w:r w:rsidRPr="00C9671E">
        <w:rPr>
          <w:rFonts w:ascii="Times New Roman" w:hAnsi="Times New Roman" w:cs="Times New Roman"/>
          <w:b/>
          <w:sz w:val="24"/>
          <w:szCs w:val="24"/>
        </w:rPr>
        <w:t>менталното здравје, унапредувањето на здравјето, исхраната и физичка активност</w:t>
      </w:r>
      <w:r w:rsidRPr="00C9671E">
        <w:rPr>
          <w:rFonts w:ascii="Times New Roman" w:hAnsi="Times New Roman" w:cs="Times New Roman"/>
          <w:sz w:val="24"/>
          <w:szCs w:val="24"/>
        </w:rPr>
        <w:t xml:space="preserve">. Националните регистри на </w:t>
      </w:r>
      <w:r w:rsidRPr="00C9671E">
        <w:rPr>
          <w:rFonts w:ascii="Times New Roman" w:hAnsi="Times New Roman" w:cs="Times New Roman"/>
          <w:b/>
          <w:sz w:val="24"/>
          <w:szCs w:val="24"/>
        </w:rPr>
        <w:t>ретки болести</w:t>
      </w:r>
      <w:r w:rsidRPr="00C9671E">
        <w:rPr>
          <w:rFonts w:ascii="Times New Roman" w:hAnsi="Times New Roman" w:cs="Times New Roman"/>
          <w:sz w:val="24"/>
          <w:szCs w:val="24"/>
        </w:rPr>
        <w:t xml:space="preserve"> се функционални и соодветните дефиниции се усогласени со стандардите на ЕУ.</w:t>
      </w:r>
    </w:p>
    <w:p w14:paraId="17B7F4B8" w14:textId="77777777" w:rsidR="003D4454" w:rsidRPr="00C9671E" w:rsidRDefault="003D4454" w:rsidP="006E4EB0">
      <w:pPr>
        <w:pStyle w:val="Heading2"/>
      </w:pPr>
      <w:bookmarkStart w:id="185" w:name="_Toc84329789"/>
      <w:bookmarkStart w:id="186" w:name="_Toc84631591"/>
      <w:bookmarkStart w:id="187" w:name="_Toc115619801"/>
      <w:bookmarkStart w:id="188" w:name="_Toc117004172"/>
      <w:bookmarkStart w:id="189" w:name="_Toc9430359"/>
      <w:bookmarkStart w:id="190" w:name="_Toc51252782"/>
      <w:r w:rsidRPr="00C9671E">
        <w:lastRenderedPageBreak/>
        <w:t>Кластер 3: Конкурентност и инклузивен раст</w:t>
      </w:r>
      <w:bookmarkEnd w:id="185"/>
      <w:bookmarkEnd w:id="186"/>
      <w:bookmarkEnd w:id="187"/>
      <w:bookmarkEnd w:id="188"/>
      <w:r w:rsidRPr="00C9671E">
        <w:t xml:space="preserve"> </w:t>
      </w:r>
    </w:p>
    <w:p w14:paraId="0733F39D" w14:textId="254FD156"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bookmarkStart w:id="191" w:name="_Toc84329790"/>
      <w:bookmarkStart w:id="192" w:name="_Toc84631592"/>
      <w:r w:rsidRPr="00C9671E">
        <w:rPr>
          <w:rFonts w:ascii="Times New Roman" w:hAnsi="Times New Roman" w:cs="Times New Roman"/>
          <w:sz w:val="24"/>
          <w:szCs w:val="24"/>
        </w:rPr>
        <w:t>Кластерот 3 за конкурентност и инклузивен раст опфаќа: дигитална трансформација и медиуми (Поглавје 10); оданочување (Поглавје 16); економска и монетарна политика (Поглавје 17); социјална политика и вработување (Поглавје 19); политика на претпријатија и индустриска политика (Поглавје 20); наука и истражување (Поглавје 25); образование и култура (Поглавје 26) и царинска унија (Поглавје 29). Генерално, Северна Македонија е умерено подготвена во повеќето области опфатени со овој кластер. Таа има добро ниво на подготвеност во областите на науката и истражувањето и во царинската унија. Постигнат е одреден напредок во повеќето области од овој кластер. Постигнат е добар напредок во областа на економската и монетарната политика. Сепак, потребни се повеќе напори, особено во областите каде што е постигнат ограничен напредок, како што се дигиталната трансформација и медиумите, како и образованието и културата.</w:t>
      </w:r>
    </w:p>
    <w:p w14:paraId="6F158D6C" w14:textId="77777777" w:rsidR="003D4454" w:rsidRPr="00C9671E" w:rsidRDefault="003D4454" w:rsidP="006E4EB0">
      <w:pPr>
        <w:pStyle w:val="Heading3"/>
      </w:pPr>
      <w:bookmarkStart w:id="193" w:name="_Toc115619802"/>
      <w:bookmarkStart w:id="194" w:name="_Toc117004173"/>
      <w:r w:rsidRPr="00C9671E">
        <w:t>Поглавје 10: Дигитална трансформација и медиуми</w:t>
      </w:r>
      <w:bookmarkEnd w:id="189"/>
      <w:bookmarkEnd w:id="190"/>
      <w:bookmarkEnd w:id="191"/>
      <w:bookmarkEnd w:id="192"/>
      <w:bookmarkEnd w:id="193"/>
      <w:bookmarkEnd w:id="194"/>
    </w:p>
    <w:p w14:paraId="28DF5BB3" w14:textId="77777777" w:rsidR="003D4454" w:rsidRPr="00C9671E" w:rsidRDefault="003D4454" w:rsidP="006E4EB0">
      <w:pPr>
        <w:spacing w:after="120" w:line="240" w:lineRule="auto"/>
        <w:jc w:val="both"/>
        <w:rPr>
          <w:rFonts w:ascii="Times New Roman" w:hAnsi="Times New Roman" w:cs="Times New Roman"/>
          <w:i/>
          <w:sz w:val="24"/>
          <w:szCs w:val="24"/>
        </w:rPr>
      </w:pPr>
      <w:bookmarkStart w:id="195" w:name="_Toc9430365"/>
      <w:bookmarkStart w:id="196" w:name="_Toc51252788"/>
      <w:bookmarkStart w:id="197" w:name="_Toc84329791"/>
      <w:bookmarkStart w:id="198" w:name="_Toc84631593"/>
      <w:bookmarkStart w:id="199" w:name="_Toc115619803"/>
      <w:r w:rsidRPr="00C9671E">
        <w:rPr>
          <w:rFonts w:ascii="Times New Roman" w:hAnsi="Times New Roman" w:cs="Times New Roman"/>
          <w:i/>
          <w:sz w:val="24"/>
          <w:szCs w:val="24"/>
        </w:rPr>
        <w:t>ЕУ го поддржува непреченото функционирање на внатрешниот пазар за електронски комуникации, електронска трговија и аудиовизуелни услуги. Правилата ги штитат потрошувачите и поддржуваат универзална достапност на современи услуги.</w:t>
      </w:r>
    </w:p>
    <w:tbl>
      <w:tblPr>
        <w:tblW w:w="0" w:type="auto"/>
        <w:tblLook w:val="04A0" w:firstRow="1" w:lastRow="0" w:firstColumn="1" w:lastColumn="0" w:noHBand="0" w:noVBand="1"/>
      </w:tblPr>
      <w:tblGrid>
        <w:gridCol w:w="9062"/>
      </w:tblGrid>
      <w:tr w:rsidR="003D4454" w:rsidRPr="00C9671E" w14:paraId="3D4DE3D5" w14:textId="77777777" w:rsidTr="006E4EB0">
        <w:tc>
          <w:tcPr>
            <w:tcW w:w="9242" w:type="dxa"/>
            <w:tcBorders>
              <w:top w:val="single" w:sz="4" w:space="0" w:color="auto"/>
              <w:left w:val="single" w:sz="4" w:space="0" w:color="auto"/>
              <w:bottom w:val="single" w:sz="4" w:space="0" w:color="auto"/>
              <w:right w:val="single" w:sz="4" w:space="0" w:color="auto"/>
            </w:tcBorders>
            <w:shd w:val="clear" w:color="auto" w:fill="D9D9D9"/>
          </w:tcPr>
          <w:p w14:paraId="1BCDB86C" w14:textId="76B8185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дигиталната трансформација и медиумите, Северна Македонија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текот на извештајниот период е постигнат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w:t>
            </w:r>
            <w:r>
              <w:rPr>
                <w:rFonts w:ascii="Times New Roman" w:hAnsi="Times New Roman" w:cs="Times New Roman"/>
                <w:sz w:val="24"/>
                <w:szCs w:val="24"/>
              </w:rPr>
              <w:t>Незначително</w:t>
            </w:r>
            <w:r w:rsidRPr="00C9671E">
              <w:rPr>
                <w:rFonts w:ascii="Times New Roman" w:hAnsi="Times New Roman" w:cs="Times New Roman"/>
                <w:sz w:val="24"/>
                <w:szCs w:val="24"/>
              </w:rPr>
              <w:t xml:space="preserve"> се зголеми бројот на електронски услуги дадени на граѓаните и на </w:t>
            </w:r>
            <w:r>
              <w:rPr>
                <w:rFonts w:ascii="Times New Roman" w:hAnsi="Times New Roman" w:cs="Times New Roman"/>
                <w:sz w:val="24"/>
                <w:szCs w:val="24"/>
              </w:rPr>
              <w:t>бизнисите</w:t>
            </w:r>
            <w:r w:rsidRPr="00C9671E">
              <w:rPr>
                <w:rFonts w:ascii="Times New Roman" w:hAnsi="Times New Roman" w:cs="Times New Roman"/>
                <w:sz w:val="24"/>
                <w:szCs w:val="24"/>
              </w:rPr>
              <w:t>. Европскиот број за итни повици 112 беше официјално воведен.</w:t>
            </w:r>
          </w:p>
          <w:p w14:paraId="3E28CB45" w14:textId="58767CBD"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Со оглед на тоа што препораките од минатата година </w:t>
            </w:r>
            <w:r>
              <w:rPr>
                <w:rFonts w:ascii="Times New Roman" w:hAnsi="Times New Roman" w:cs="Times New Roman"/>
                <w:sz w:val="24"/>
                <w:szCs w:val="24"/>
              </w:rPr>
              <w:t>беа</w:t>
            </w:r>
            <w:r w:rsidRPr="00C9671E">
              <w:rPr>
                <w:rFonts w:ascii="Times New Roman" w:hAnsi="Times New Roman" w:cs="Times New Roman"/>
                <w:sz w:val="24"/>
                <w:szCs w:val="24"/>
              </w:rPr>
              <w:t xml:space="preserve"> делумно </w:t>
            </w:r>
            <w:r>
              <w:rPr>
                <w:rFonts w:ascii="Times New Roman" w:hAnsi="Times New Roman" w:cs="Times New Roman"/>
                <w:sz w:val="24"/>
                <w:szCs w:val="24"/>
              </w:rPr>
              <w:t>адресирани</w:t>
            </w:r>
            <w:r w:rsidRPr="00C9671E">
              <w:rPr>
                <w:rFonts w:ascii="Times New Roman" w:hAnsi="Times New Roman" w:cs="Times New Roman"/>
                <w:sz w:val="24"/>
                <w:szCs w:val="24"/>
              </w:rPr>
              <w:t>, во наредната година земјата особено треба:</w:t>
            </w:r>
          </w:p>
          <w:p w14:paraId="3E0AED35" w14:textId="77777777" w:rsidR="003D4454" w:rsidRPr="00C9671E" w:rsidRDefault="003D4454" w:rsidP="00705B41">
            <w:pPr>
              <w:numPr>
                <w:ilvl w:val="0"/>
                <w:numId w:val="46"/>
              </w:num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ја финализира и да ја донесе долгорочната стратегија за информатичко- комуникациска технологија (ИКТ); да го усогласи законодавството со Кодексот за електронски комуникации на ЕУ и со Директивата на ЕУ за намалување на трошоците за широкопојасен интернет; и да продолжи со напорите за усогласување на националното законодавство со Директивата на ЕУ за безбедност на мрежи и информациски системи (Директива НИС)/ и пакет на алатки за 5Г;</w:t>
            </w:r>
          </w:p>
          <w:p w14:paraId="443AED9C" w14:textId="549C4AB5" w:rsidR="003D4454" w:rsidRPr="00C9671E" w:rsidRDefault="003D4454" w:rsidP="00705B41">
            <w:pPr>
              <w:numPr>
                <w:ilvl w:val="0"/>
                <w:numId w:val="46"/>
              </w:num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ги зајакне независноста и капацитетот на медиумскиот регулатор, јавниот радиодифузен сервис и регулаторот за електронски комуникации;</w:t>
            </w:r>
          </w:p>
          <w:p w14:paraId="23BA4DF8" w14:textId="0AEAD8C0" w:rsidR="003D4454" w:rsidRPr="00C9671E" w:rsidRDefault="003D4454" w:rsidP="00705B41">
            <w:pPr>
              <w:numPr>
                <w:ilvl w:val="0"/>
                <w:numId w:val="46"/>
              </w:num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да го подобри функционирањето на бројот за итни случаи 112 </w:t>
            </w:r>
            <w:r>
              <w:rPr>
                <w:rFonts w:ascii="Times New Roman" w:hAnsi="Times New Roman" w:cs="Times New Roman"/>
                <w:sz w:val="24"/>
                <w:szCs w:val="24"/>
              </w:rPr>
              <w:t>преку</w:t>
            </w:r>
            <w:r w:rsidRPr="00C9671E">
              <w:rPr>
                <w:rFonts w:ascii="Times New Roman" w:hAnsi="Times New Roman" w:cs="Times New Roman"/>
                <w:sz w:val="24"/>
                <w:szCs w:val="24"/>
              </w:rPr>
              <w:t xml:space="preserve"> обезбедување соодветни човечки ресурси и подобра комуникација меѓу итните служби.</w:t>
            </w:r>
          </w:p>
        </w:tc>
      </w:tr>
    </w:tbl>
    <w:p w14:paraId="702A39D1" w14:textId="29465DF1"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текот на извештајниот период, Северна Македонија продолжи успешно да учествува во Дигиталната агенда за Западен Балкан и целосно го спроведе Договорот за регионален роаминг, кој од јули 2021 година овозможува регионална зона без роаминг. </w:t>
      </w:r>
      <w:r>
        <w:rPr>
          <w:rFonts w:ascii="Times New Roman" w:hAnsi="Times New Roman" w:cs="Times New Roman"/>
          <w:sz w:val="24"/>
          <w:szCs w:val="24"/>
        </w:rPr>
        <w:t>Има понатамошно доцнење на</w:t>
      </w:r>
      <w:r w:rsidRPr="00C9671E">
        <w:rPr>
          <w:rFonts w:ascii="Times New Roman" w:hAnsi="Times New Roman" w:cs="Times New Roman"/>
          <w:sz w:val="24"/>
          <w:szCs w:val="24"/>
        </w:rPr>
        <w:t xml:space="preserve"> спроведувањето на Националниот оперативен бродбенд-план за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2019-2023 година. Се забрза спроведувањето на Националната стратегија за сајбер безбедност за периодот</w:t>
      </w:r>
      <w:r>
        <w:rPr>
          <w:rFonts w:ascii="Times New Roman" w:hAnsi="Times New Roman" w:cs="Times New Roman"/>
          <w:sz w:val="24"/>
          <w:szCs w:val="24"/>
        </w:rPr>
        <w:t xml:space="preserve"> од</w:t>
      </w:r>
      <w:r w:rsidRPr="00C9671E">
        <w:rPr>
          <w:rFonts w:ascii="Times New Roman" w:hAnsi="Times New Roman" w:cs="Times New Roman"/>
          <w:sz w:val="24"/>
          <w:szCs w:val="24"/>
        </w:rPr>
        <w:t xml:space="preserve"> 2018-2022 година и европскиот број за итни повици 112 беше официјално воведен во земјата. Сепак, комуникацијата меѓу итните служби сè уште не е соодветна, а човечките ресурси сè уште се недоволни.</w:t>
      </w:r>
    </w:p>
    <w:p w14:paraId="1EF90628" w14:textId="66D57FC8"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електронските комуникации и информатичката технологија</w:t>
      </w:r>
      <w:r w:rsidRPr="00C9671E">
        <w:rPr>
          <w:rFonts w:ascii="Times New Roman" w:hAnsi="Times New Roman" w:cs="Times New Roman"/>
          <w:sz w:val="24"/>
          <w:szCs w:val="24"/>
        </w:rPr>
        <w:t xml:space="preserve">, во 2021 година 77,92 % од вкупниот број домаќинства имаат пристап до фиксен широкопојасен интернет, додека широкопојасната покриеност на национално ниво е 99,48 %. Опфатот на мобилниот широкопојасен интернет е 75,83 %. Пристапот до ултрабрз широкопојасен интернет е 2,32 % од вкупниот број домаќинства. Агенцијата за </w:t>
      </w:r>
      <w:r w:rsidRPr="00C9671E">
        <w:rPr>
          <w:rFonts w:ascii="Times New Roman" w:hAnsi="Times New Roman" w:cs="Times New Roman"/>
          <w:sz w:val="24"/>
          <w:szCs w:val="24"/>
        </w:rPr>
        <w:lastRenderedPageBreak/>
        <w:t>електронски комуникации презеде чекори за да даде одобренија за користење радиофреквенции за 5Г. Во 2022 година на два телекомуникациски оператора им беа д</w:t>
      </w:r>
      <w:r>
        <w:rPr>
          <w:rFonts w:ascii="Times New Roman" w:hAnsi="Times New Roman" w:cs="Times New Roman"/>
          <w:sz w:val="24"/>
          <w:szCs w:val="24"/>
        </w:rPr>
        <w:t>оделени</w:t>
      </w:r>
      <w:r w:rsidRPr="00C9671E">
        <w:rPr>
          <w:rFonts w:ascii="Times New Roman" w:hAnsi="Times New Roman" w:cs="Times New Roman"/>
          <w:sz w:val="24"/>
          <w:szCs w:val="24"/>
        </w:rPr>
        <w:t xml:space="preserve"> фреквенции. Правната рамка за електронски комуникации треба дополнително да се усогласи со правото на ЕУ. Регулаторот донесе подзаконски акти за спроведување на измените во Законот за електронски комуникации, со што се предвидуваат нови одговорности за регулаторот во врска со претходн</w:t>
      </w:r>
      <w:r>
        <w:rPr>
          <w:rFonts w:ascii="Times New Roman" w:hAnsi="Times New Roman" w:cs="Times New Roman"/>
          <w:sz w:val="24"/>
          <w:szCs w:val="24"/>
        </w:rPr>
        <w:t xml:space="preserve">о безбедносно </w:t>
      </w:r>
      <w:r w:rsidRPr="00C9671E">
        <w:rPr>
          <w:rFonts w:ascii="Times New Roman" w:hAnsi="Times New Roman" w:cs="Times New Roman"/>
          <w:sz w:val="24"/>
          <w:szCs w:val="24"/>
        </w:rPr>
        <w:t xml:space="preserve">одобрување за поставување 5Г опрема од телекомуникациските оператори. Нацрт-законот за безбедност на мрежите и информациските системи сè уште не е донесен. Министерството за информатичко општество и администрација треба да ги зајакне своите капацитети за да ја предводи дигиталната трансформација. Останува загриженоста во однос на независноста на регулаторот за електронски комуникации. Законот за електронски комуникации и Законот за аудио и аудиовизуелни медиумски услуги треба дополнително да се усогласат со правото на ЕУ. Во однос на заштитните мерки, </w:t>
      </w:r>
      <w:r>
        <w:rPr>
          <w:rFonts w:ascii="Times New Roman" w:hAnsi="Times New Roman" w:cs="Times New Roman"/>
          <w:sz w:val="24"/>
          <w:szCs w:val="24"/>
        </w:rPr>
        <w:t>Комисијата за заштита на конкуренцијата</w:t>
      </w:r>
      <w:r w:rsidRPr="00C9671E">
        <w:rPr>
          <w:rFonts w:ascii="Times New Roman" w:hAnsi="Times New Roman" w:cs="Times New Roman"/>
          <w:sz w:val="24"/>
          <w:szCs w:val="24"/>
        </w:rPr>
        <w:t xml:space="preserve"> </w:t>
      </w:r>
      <w:r>
        <w:rPr>
          <w:rFonts w:ascii="Times New Roman" w:hAnsi="Times New Roman" w:cs="Times New Roman"/>
          <w:sz w:val="24"/>
          <w:szCs w:val="24"/>
        </w:rPr>
        <w:t xml:space="preserve">иницира ревизија </w:t>
      </w:r>
      <w:r w:rsidRPr="00C9671E">
        <w:rPr>
          <w:rFonts w:ascii="Times New Roman" w:hAnsi="Times New Roman" w:cs="Times New Roman"/>
          <w:sz w:val="24"/>
          <w:szCs w:val="24"/>
        </w:rPr>
        <w:t xml:space="preserve">на тендерската постапка за 5Г објавена од </w:t>
      </w:r>
      <w:r>
        <w:rPr>
          <w:rFonts w:ascii="Times New Roman" w:hAnsi="Times New Roman" w:cs="Times New Roman"/>
          <w:sz w:val="24"/>
          <w:szCs w:val="24"/>
        </w:rPr>
        <w:t xml:space="preserve">страна на </w:t>
      </w:r>
      <w:r w:rsidRPr="00C9671E">
        <w:rPr>
          <w:rFonts w:ascii="Times New Roman" w:hAnsi="Times New Roman" w:cs="Times New Roman"/>
          <w:sz w:val="24"/>
          <w:szCs w:val="24"/>
        </w:rPr>
        <w:t>Агенцијата за електронски комуникации</w:t>
      </w:r>
      <w:r>
        <w:rPr>
          <w:rFonts w:ascii="Times New Roman" w:hAnsi="Times New Roman" w:cs="Times New Roman"/>
          <w:sz w:val="24"/>
          <w:szCs w:val="24"/>
        </w:rPr>
        <w:t xml:space="preserve"> </w:t>
      </w:r>
      <w:r w:rsidRPr="00C9671E">
        <w:rPr>
          <w:rFonts w:ascii="Times New Roman" w:hAnsi="Times New Roman" w:cs="Times New Roman"/>
          <w:sz w:val="24"/>
          <w:szCs w:val="24"/>
        </w:rPr>
        <w:t>во ноември 2021 година</w:t>
      </w:r>
      <w:r>
        <w:rPr>
          <w:rFonts w:ascii="Times New Roman" w:hAnsi="Times New Roman" w:cs="Times New Roman"/>
          <w:sz w:val="24"/>
          <w:szCs w:val="24"/>
        </w:rPr>
        <w:t>,</w:t>
      </w:r>
      <w:r w:rsidRPr="00C9671E">
        <w:rPr>
          <w:rFonts w:ascii="Times New Roman" w:hAnsi="Times New Roman" w:cs="Times New Roman"/>
          <w:sz w:val="24"/>
          <w:szCs w:val="24"/>
        </w:rPr>
        <w:t xml:space="preserve"> </w:t>
      </w:r>
      <w:r>
        <w:rPr>
          <w:rFonts w:ascii="Times New Roman" w:hAnsi="Times New Roman" w:cs="Times New Roman"/>
          <w:sz w:val="24"/>
          <w:szCs w:val="24"/>
        </w:rPr>
        <w:t xml:space="preserve">поради </w:t>
      </w:r>
      <w:r w:rsidRPr="00C9671E">
        <w:rPr>
          <w:rFonts w:ascii="Times New Roman" w:hAnsi="Times New Roman" w:cs="Times New Roman"/>
          <w:sz w:val="24"/>
          <w:szCs w:val="24"/>
        </w:rPr>
        <w:t xml:space="preserve">намалените цени за </w:t>
      </w:r>
      <w:r>
        <w:rPr>
          <w:rFonts w:ascii="Times New Roman" w:hAnsi="Times New Roman" w:cs="Times New Roman"/>
          <w:sz w:val="24"/>
          <w:szCs w:val="24"/>
        </w:rPr>
        <w:t xml:space="preserve">влез на </w:t>
      </w:r>
      <w:r w:rsidRPr="00C9671E">
        <w:rPr>
          <w:rFonts w:ascii="Times New Roman" w:hAnsi="Times New Roman" w:cs="Times New Roman"/>
          <w:sz w:val="24"/>
          <w:szCs w:val="24"/>
        </w:rPr>
        <w:t>потенцијален оператор на телекомуникацискиот пазар. Сепак, неколку месеци подоцна, Комисијата требаше повторно да ја почне тендерската постапка.</w:t>
      </w:r>
    </w:p>
    <w:p w14:paraId="526DF07E" w14:textId="279400A9"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треба допрва да го усогласи националното законодавство со Регулативата на ЕУ за електронска идентификација и доверливи услуги за електронски трансакции на интернет-пазарот (Регулатива eIDAS). </w:t>
      </w:r>
    </w:p>
    <w:p w14:paraId="5EAFE1F2" w14:textId="6AF3ED71"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дигиталната трансформација</w:t>
      </w:r>
      <w:r w:rsidRPr="00C9671E">
        <w:rPr>
          <w:rFonts w:ascii="Times New Roman" w:hAnsi="Times New Roman" w:cs="Times New Roman"/>
          <w:sz w:val="24"/>
          <w:szCs w:val="24"/>
        </w:rPr>
        <w:t xml:space="preserve">, долгорочната стратегија за информатичко-комуникациска технологија (ИКТ) (за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 xml:space="preserve">2021-2026 година) сè уште не е донесена. </w:t>
      </w:r>
      <w:r>
        <w:rPr>
          <w:rFonts w:ascii="Times New Roman" w:hAnsi="Times New Roman" w:cs="Times New Roman"/>
          <w:sz w:val="24"/>
          <w:szCs w:val="24"/>
        </w:rPr>
        <w:t xml:space="preserve">Потребно е </w:t>
      </w:r>
      <w:r w:rsidRPr="00C9671E">
        <w:rPr>
          <w:rFonts w:ascii="Times New Roman" w:hAnsi="Times New Roman" w:cs="Times New Roman"/>
          <w:sz w:val="24"/>
          <w:szCs w:val="24"/>
        </w:rPr>
        <w:t>да се изготват и да се донесат стратегија за развој на дигиталните вештини и референтна рамка за дигитална писменост во општеството. Подобрувањето на дигиталната писменост е приоритет во стратегијата за образование</w:t>
      </w:r>
      <w:r>
        <w:rPr>
          <w:rFonts w:ascii="Times New Roman" w:hAnsi="Times New Roman" w:cs="Times New Roman"/>
          <w:sz w:val="24"/>
          <w:szCs w:val="24"/>
        </w:rPr>
        <w:t xml:space="preserve">, со цел </w:t>
      </w:r>
      <w:r w:rsidRPr="00C9671E">
        <w:rPr>
          <w:rFonts w:ascii="Times New Roman" w:hAnsi="Times New Roman" w:cs="Times New Roman"/>
          <w:sz w:val="24"/>
          <w:szCs w:val="24"/>
        </w:rPr>
        <w:t>да се осигури дигитална трансформација преку повеќеаспектен пристап.</w:t>
      </w:r>
    </w:p>
    <w:p w14:paraId="1C7BE864" w14:textId="4506245E"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Националниот портал за електронски услуги е ажуриран. Во 2021 година бројот на регистрирани корисници и регистрирани електронски услуги на порталот во </w:t>
      </w:r>
      <w:r>
        <w:rPr>
          <w:rFonts w:ascii="Times New Roman" w:hAnsi="Times New Roman" w:cs="Times New Roman"/>
          <w:sz w:val="24"/>
          <w:szCs w:val="24"/>
        </w:rPr>
        <w:t>мала</w:t>
      </w:r>
      <w:r w:rsidRPr="00C9671E">
        <w:rPr>
          <w:rFonts w:ascii="Times New Roman" w:hAnsi="Times New Roman" w:cs="Times New Roman"/>
          <w:sz w:val="24"/>
          <w:szCs w:val="24"/>
        </w:rPr>
        <w:t xml:space="preserve"> мера се зголеми, но треба да се преземат дополнителни чекори. Искористеноста на системот за интероперабилност сè уште е попречена од недостатокот на комуникациски софтвер во многу институции, како и од недостатокот на волја за целосно искористување на неговиот потенцијал. Сè уште се потребни повеќе напори и подобра соработка меѓу институциите</w:t>
      </w:r>
      <w:r>
        <w:rPr>
          <w:rFonts w:ascii="Times New Roman" w:hAnsi="Times New Roman" w:cs="Times New Roman"/>
          <w:sz w:val="24"/>
          <w:szCs w:val="24"/>
        </w:rPr>
        <w:t>,</w:t>
      </w:r>
      <w:r w:rsidRPr="00C9671E">
        <w:rPr>
          <w:rFonts w:ascii="Times New Roman" w:hAnsi="Times New Roman" w:cs="Times New Roman"/>
          <w:sz w:val="24"/>
          <w:szCs w:val="24"/>
        </w:rPr>
        <w:t xml:space="preserve"> за модернизација и дигитализација на јавниот сектор. Квалитетот на податоци во регистарот на население треба да се подобри и постојано да се проверува со други регистри.</w:t>
      </w:r>
    </w:p>
    <w:p w14:paraId="588F183F" w14:textId="17ADF2D5"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однос на е-трговијата, Националната банка пријави зголемување од 61 % на интернет-трансакциите од граѓани во првиот квартал од 2021 година. Во однос на статистичката обработка и дигиталната конкурентност, прибраните податоци врз основа на индикаторите на Индексот на дигитална економија и општество (DESI) се проценува дека ќе бидат достапни и потполно усогласени во 87 %.</w:t>
      </w:r>
    </w:p>
    <w:p w14:paraId="04A21383" w14:textId="2C2DBE8F" w:rsidR="003D4454" w:rsidRPr="00C9671E" w:rsidRDefault="003D4454" w:rsidP="006E4EB0">
      <w:pPr>
        <w:spacing w:after="120" w:line="240" w:lineRule="auto"/>
        <w:jc w:val="both"/>
        <w:rPr>
          <w:rFonts w:ascii="Times New Roman" w:hAnsi="Times New Roman" w:cs="Times New Roman"/>
          <w:sz w:val="24"/>
          <w:szCs w:val="24"/>
        </w:rPr>
      </w:pPr>
      <w:bookmarkStart w:id="200" w:name="_Hlk114485730"/>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аудиовизуелната политика</w:t>
      </w:r>
      <w:r w:rsidRPr="00C9671E">
        <w:rPr>
          <w:rFonts w:ascii="Times New Roman" w:hAnsi="Times New Roman" w:cs="Times New Roman"/>
          <w:sz w:val="24"/>
          <w:szCs w:val="24"/>
        </w:rPr>
        <w:t xml:space="preserve">, Собранието дополнително го одложи назначувањето членови на </w:t>
      </w:r>
      <w:r>
        <w:rPr>
          <w:rFonts w:ascii="Times New Roman" w:hAnsi="Times New Roman" w:cs="Times New Roman"/>
          <w:sz w:val="24"/>
          <w:szCs w:val="24"/>
        </w:rPr>
        <w:t xml:space="preserve">советите на </w:t>
      </w:r>
      <w:r w:rsidRPr="00C9671E">
        <w:rPr>
          <w:rFonts w:ascii="Times New Roman" w:hAnsi="Times New Roman" w:cs="Times New Roman"/>
          <w:sz w:val="24"/>
          <w:szCs w:val="24"/>
        </w:rPr>
        <w:t>медиумскиот регулатор и јавниот радиодифузен сервис</w:t>
      </w:r>
      <w:r>
        <w:rPr>
          <w:rFonts w:ascii="Times New Roman" w:hAnsi="Times New Roman" w:cs="Times New Roman"/>
          <w:sz w:val="24"/>
          <w:szCs w:val="24"/>
        </w:rPr>
        <w:t>,</w:t>
      </w:r>
      <w:r w:rsidRPr="00C9671E">
        <w:rPr>
          <w:rFonts w:ascii="Times New Roman" w:hAnsi="Times New Roman" w:cs="Times New Roman"/>
          <w:sz w:val="24"/>
          <w:szCs w:val="24"/>
        </w:rPr>
        <w:t xml:space="preserve"> во согласност со Законот за аудио и аудиовизуелни медиумски услуги (ЗААВМУ). Медиумите продолжија да добиваат поддршка како дел од мерките за ублажување на влијанијата од пандемијата на КОВИД -19.</w:t>
      </w:r>
    </w:p>
    <w:p w14:paraId="58D34E46" w14:textId="0B15FD09"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Издвојувањето државни средства за радиодифузниот сектор, обезбедување буџет за јавниот радиодифузен сервис, за медиумскиот регулатор и за јавното претпријатие за </w:t>
      </w:r>
      <w:r w:rsidRPr="00C9671E">
        <w:rPr>
          <w:rFonts w:ascii="Times New Roman" w:hAnsi="Times New Roman" w:cs="Times New Roman"/>
          <w:sz w:val="24"/>
          <w:szCs w:val="24"/>
        </w:rPr>
        <w:lastRenderedPageBreak/>
        <w:t xml:space="preserve">радиодифузија дополнително се намали во 2021 година, достигнувајќи 0,59 % од вкупните приходи реализирани </w:t>
      </w:r>
      <w:r>
        <w:rPr>
          <w:rFonts w:ascii="Times New Roman" w:hAnsi="Times New Roman" w:cs="Times New Roman"/>
          <w:sz w:val="24"/>
          <w:szCs w:val="24"/>
        </w:rPr>
        <w:t>од претходната</w:t>
      </w:r>
      <w:r w:rsidRPr="00C9671E">
        <w:rPr>
          <w:rFonts w:ascii="Times New Roman" w:hAnsi="Times New Roman" w:cs="Times New Roman"/>
          <w:sz w:val="24"/>
          <w:szCs w:val="24"/>
        </w:rPr>
        <w:t xml:space="preserve"> фискална година за која е наменет износот. Јавниот радиодифузен сервис доби дополнителни средства со што </w:t>
      </w:r>
      <w:r>
        <w:rPr>
          <w:rFonts w:ascii="Times New Roman" w:hAnsi="Times New Roman" w:cs="Times New Roman"/>
          <w:sz w:val="24"/>
          <w:szCs w:val="24"/>
        </w:rPr>
        <w:t>незначително</w:t>
      </w:r>
      <w:r w:rsidRPr="00C9671E">
        <w:rPr>
          <w:rFonts w:ascii="Times New Roman" w:hAnsi="Times New Roman" w:cs="Times New Roman"/>
          <w:sz w:val="24"/>
          <w:szCs w:val="24"/>
        </w:rPr>
        <w:t xml:space="preserve"> се зголеми неговиот процент.</w:t>
      </w:r>
      <w:r>
        <w:rPr>
          <w:rFonts w:ascii="Times New Roman" w:hAnsi="Times New Roman" w:cs="Times New Roman"/>
          <w:sz w:val="24"/>
          <w:szCs w:val="24"/>
        </w:rPr>
        <w:t xml:space="preserve"> </w:t>
      </w:r>
      <w:r w:rsidRPr="00C9671E">
        <w:rPr>
          <w:rFonts w:ascii="Times New Roman" w:hAnsi="Times New Roman" w:cs="Times New Roman"/>
          <w:sz w:val="24"/>
          <w:szCs w:val="24"/>
        </w:rPr>
        <w:t xml:space="preserve">ЗААВМУ </w:t>
      </w:r>
      <w:r>
        <w:rPr>
          <w:rFonts w:ascii="Times New Roman" w:hAnsi="Times New Roman" w:cs="Times New Roman"/>
          <w:sz w:val="24"/>
          <w:szCs w:val="24"/>
        </w:rPr>
        <w:t>одредува</w:t>
      </w:r>
      <w:r w:rsidRPr="00C9671E">
        <w:rPr>
          <w:rFonts w:ascii="Times New Roman" w:hAnsi="Times New Roman" w:cs="Times New Roman"/>
          <w:sz w:val="24"/>
          <w:szCs w:val="24"/>
        </w:rPr>
        <w:t xml:space="preserve"> постепено зголемување со текот на времето (до 0,8 % во 2019 година, до 0,9 % во 2020 година, 1 % во 2021 година). </w:t>
      </w:r>
      <w:r>
        <w:rPr>
          <w:rFonts w:ascii="Times New Roman" w:hAnsi="Times New Roman" w:cs="Times New Roman"/>
          <w:sz w:val="24"/>
          <w:szCs w:val="24"/>
        </w:rPr>
        <w:t xml:space="preserve">Сепак, </w:t>
      </w:r>
      <w:r w:rsidRPr="00C9671E">
        <w:rPr>
          <w:rFonts w:ascii="Times New Roman" w:hAnsi="Times New Roman" w:cs="Times New Roman"/>
          <w:sz w:val="24"/>
          <w:szCs w:val="24"/>
        </w:rPr>
        <w:t xml:space="preserve">Владата </w:t>
      </w:r>
      <w:r>
        <w:rPr>
          <w:rFonts w:ascii="Times New Roman" w:hAnsi="Times New Roman" w:cs="Times New Roman"/>
          <w:sz w:val="24"/>
          <w:szCs w:val="24"/>
        </w:rPr>
        <w:t>има</w:t>
      </w:r>
      <w:r w:rsidRPr="00C9671E">
        <w:rPr>
          <w:rFonts w:ascii="Times New Roman" w:hAnsi="Times New Roman" w:cs="Times New Roman"/>
          <w:sz w:val="24"/>
          <w:szCs w:val="24"/>
        </w:rPr>
        <w:t xml:space="preserve"> дискреционото право </w:t>
      </w:r>
      <w:r>
        <w:rPr>
          <w:rFonts w:ascii="Times New Roman" w:hAnsi="Times New Roman" w:cs="Times New Roman"/>
          <w:sz w:val="24"/>
          <w:szCs w:val="24"/>
        </w:rPr>
        <w:t xml:space="preserve">во </w:t>
      </w:r>
      <w:r w:rsidRPr="00C9671E">
        <w:rPr>
          <w:rFonts w:ascii="Times New Roman" w:hAnsi="Times New Roman" w:cs="Times New Roman"/>
          <w:sz w:val="24"/>
          <w:szCs w:val="24"/>
        </w:rPr>
        <w:t>распределба на средствата</w:t>
      </w:r>
      <w:r>
        <w:rPr>
          <w:rFonts w:ascii="Times New Roman" w:hAnsi="Times New Roman" w:cs="Times New Roman"/>
          <w:sz w:val="24"/>
          <w:szCs w:val="24"/>
        </w:rPr>
        <w:t>,</w:t>
      </w:r>
      <w:r w:rsidRPr="00C9671E">
        <w:rPr>
          <w:rFonts w:ascii="Times New Roman" w:hAnsi="Times New Roman" w:cs="Times New Roman"/>
          <w:sz w:val="24"/>
          <w:szCs w:val="24"/>
        </w:rPr>
        <w:t xml:space="preserve"> со услов издвојувањата да не ја нарушуваат правичната распределба на буџетските средства и да не влија</w:t>
      </w:r>
      <w:r>
        <w:rPr>
          <w:rFonts w:ascii="Times New Roman" w:hAnsi="Times New Roman" w:cs="Times New Roman"/>
          <w:sz w:val="24"/>
          <w:szCs w:val="24"/>
        </w:rPr>
        <w:t>ат</w:t>
      </w:r>
      <w:r w:rsidRPr="00C9671E">
        <w:rPr>
          <w:rFonts w:ascii="Times New Roman" w:hAnsi="Times New Roman" w:cs="Times New Roman"/>
          <w:sz w:val="24"/>
          <w:szCs w:val="24"/>
        </w:rPr>
        <w:t xml:space="preserve"> врз средствата планирани за сите буџетски расходи.</w:t>
      </w:r>
    </w:p>
    <w:bookmarkEnd w:id="200"/>
    <w:p w14:paraId="3D6EAA6C" w14:textId="32A21B4A" w:rsidR="003D4454"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Агенцијата за аудио и аудиовизуелни медиумски услуги продолжи да биде проактивна во унапредувањето на медиумската писменост, родовата еднаквост во медиумските програми, како и во осудувањето на притисокот и заканите врз новинарите и медиумите. Транспарентноста на медиумската сопственост е законска обврска за аудиовизуелните и печатените медиуми. Медиумскиот регулатор на својата веб-страница ги објавува регистрите на радиодифузни и печатени медиуми. Сепак, нема законски обврски за онлајн медиумите во однос на медиумската сопственост. Во октомври 2021 година Владата донесе Националната стратегија и акцискиот план за градење отпорност и справување со хибридни закани (за периодот</w:t>
      </w:r>
      <w:r>
        <w:rPr>
          <w:rFonts w:ascii="Times New Roman" w:hAnsi="Times New Roman" w:cs="Times New Roman"/>
          <w:sz w:val="24"/>
          <w:szCs w:val="24"/>
        </w:rPr>
        <w:t xml:space="preserve"> од</w:t>
      </w:r>
      <w:r w:rsidRPr="00C9671E">
        <w:rPr>
          <w:rFonts w:ascii="Times New Roman" w:hAnsi="Times New Roman" w:cs="Times New Roman"/>
          <w:sz w:val="24"/>
          <w:szCs w:val="24"/>
        </w:rPr>
        <w:t xml:space="preserve"> 2021-2025 година). Овие документи вклучуваат широк опсег на активности за справување со предизвиците поврзани со дезинформации и хибридни закани. Аудиовизуелниот сектор продолжи </w:t>
      </w:r>
      <w:r>
        <w:rPr>
          <w:rFonts w:ascii="Times New Roman" w:hAnsi="Times New Roman" w:cs="Times New Roman"/>
          <w:sz w:val="24"/>
          <w:szCs w:val="24"/>
        </w:rPr>
        <w:t>да ги користи можностите</w:t>
      </w:r>
      <w:r w:rsidRPr="00C9671E">
        <w:rPr>
          <w:rFonts w:ascii="Times New Roman" w:hAnsi="Times New Roman" w:cs="Times New Roman"/>
          <w:sz w:val="24"/>
          <w:szCs w:val="24"/>
        </w:rPr>
        <w:t xml:space="preserve"> од учеството на земјата во потпрограмата за медиуми „Креативна Европа“, со пет </w:t>
      </w:r>
      <w:r>
        <w:rPr>
          <w:rFonts w:ascii="Times New Roman" w:hAnsi="Times New Roman" w:cs="Times New Roman"/>
          <w:sz w:val="24"/>
          <w:szCs w:val="24"/>
        </w:rPr>
        <w:t xml:space="preserve">поддржани </w:t>
      </w:r>
      <w:r w:rsidRPr="00C9671E">
        <w:rPr>
          <w:rFonts w:ascii="Times New Roman" w:hAnsi="Times New Roman" w:cs="Times New Roman"/>
          <w:sz w:val="24"/>
          <w:szCs w:val="24"/>
        </w:rPr>
        <w:t xml:space="preserve">проекти во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2020-2021 година.</w:t>
      </w:r>
    </w:p>
    <w:p w14:paraId="598CC6A7" w14:textId="77777777" w:rsidR="003D4454" w:rsidRPr="00C9671E" w:rsidRDefault="003D4454" w:rsidP="006E4EB0">
      <w:pPr>
        <w:pStyle w:val="Heading3"/>
      </w:pPr>
      <w:bookmarkStart w:id="201" w:name="_Toc117004174"/>
      <w:r w:rsidRPr="00C9671E">
        <w:t>Поглавје 16: Оданочување</w:t>
      </w:r>
      <w:bookmarkEnd w:id="195"/>
      <w:bookmarkEnd w:id="196"/>
      <w:bookmarkEnd w:id="197"/>
      <w:bookmarkEnd w:id="198"/>
      <w:bookmarkEnd w:id="199"/>
      <w:bookmarkEnd w:id="201"/>
    </w:p>
    <w:p w14:paraId="08ADD135" w14:textId="77777777" w:rsidR="003D4454" w:rsidRPr="00C9671E" w:rsidRDefault="003D4454" w:rsidP="006E4EB0">
      <w:pPr>
        <w:spacing w:after="120" w:line="240" w:lineRule="auto"/>
        <w:jc w:val="both"/>
        <w:rPr>
          <w:rFonts w:ascii="Times New Roman" w:hAnsi="Times New Roman" w:cs="Times New Roman"/>
          <w:i/>
          <w:iCs/>
          <w:sz w:val="24"/>
          <w:szCs w:val="24"/>
        </w:rPr>
      </w:pPr>
      <w:r w:rsidRPr="00C9671E">
        <w:rPr>
          <w:rFonts w:ascii="Times New Roman" w:hAnsi="Times New Roman" w:cs="Times New Roman"/>
          <w:i/>
          <w:iCs/>
          <w:sz w:val="24"/>
          <w:szCs w:val="24"/>
        </w:rPr>
        <w:t>Правилата на ЕУ за оданочување опфаќаат данок на додадена вредност, акцизи и аспекти на корпоративно оданочување. Тие, исто така, ја опфаќаат и соработката меѓу даночните администрации, вклучително и размена на информации за спречување даночно затајување.</w:t>
      </w:r>
    </w:p>
    <w:tbl>
      <w:tblPr>
        <w:tblW w:w="91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55"/>
      </w:tblGrid>
      <w:tr w:rsidR="003D4454" w:rsidRPr="00C9671E" w14:paraId="6D0AD880" w14:textId="77777777" w:rsidTr="006E4EB0">
        <w:trPr>
          <w:trHeight w:val="280"/>
        </w:trPr>
        <w:tc>
          <w:tcPr>
            <w:tcW w:w="9155" w:type="dxa"/>
            <w:tcBorders>
              <w:top w:val="single" w:sz="4" w:space="0" w:color="auto"/>
              <w:left w:val="single" w:sz="4" w:space="0" w:color="auto"/>
              <w:bottom w:val="single" w:sz="4" w:space="0" w:color="auto"/>
              <w:right w:val="single" w:sz="4" w:space="0" w:color="auto"/>
            </w:tcBorders>
            <w:shd w:val="clear" w:color="auto" w:fill="D9D9D9"/>
            <w:hideMark/>
          </w:tcPr>
          <w:p w14:paraId="0F3F9E3F" w14:textId="4835F110"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е </w:t>
            </w:r>
            <w:r w:rsidRPr="00C9671E">
              <w:rPr>
                <w:rFonts w:ascii="Times New Roman" w:hAnsi="Times New Roman" w:cs="Times New Roman"/>
                <w:b/>
                <w:sz w:val="24"/>
                <w:szCs w:val="24"/>
              </w:rPr>
              <w:t xml:space="preserve">умерено подготвена </w:t>
            </w:r>
            <w:r w:rsidRPr="00C9671E">
              <w:rPr>
                <w:rFonts w:ascii="Times New Roman" w:hAnsi="Times New Roman" w:cs="Times New Roman"/>
                <w:sz w:val="24"/>
                <w:szCs w:val="24"/>
              </w:rPr>
              <w:t xml:space="preserve">во областа за оданочување. 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особено во намалувањето на административниот товар за даночните обврзници </w:t>
            </w:r>
            <w:r>
              <w:rPr>
                <w:rFonts w:ascii="Times New Roman" w:hAnsi="Times New Roman" w:cs="Times New Roman"/>
                <w:sz w:val="24"/>
                <w:szCs w:val="24"/>
              </w:rPr>
              <w:t>и</w:t>
            </w:r>
            <w:r w:rsidRPr="00C9671E">
              <w:rPr>
                <w:rFonts w:ascii="Times New Roman" w:hAnsi="Times New Roman" w:cs="Times New Roman"/>
                <w:sz w:val="24"/>
                <w:szCs w:val="24"/>
              </w:rPr>
              <w:t xml:space="preserve"> постапката за поврат на ДДВ. Земјата треба дополнително да го подобри капацитетот на даночната администрација со ефикасно спроведување на Стратегијата за реформа на даночниот систем за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2021-2025 година и да осигури ефективна автоматска размена на даночни информации со земјите членки на ЕУ. Северна Македонија е вклучена во листата на ЕУ за некооперативни јурисдикции за даночни цели поради тоа што има повластен даночен режим што таа се заложи да го реформира до крајот на 2022 година.</w:t>
            </w:r>
          </w:p>
          <w:p w14:paraId="16A68F03" w14:textId="586DCB2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Препораките од извештајот од минатата година не се целосно спроведени и остануваат во важност. Во наредната година Северна Македонија особено треба:</w:t>
            </w:r>
          </w:p>
          <w:p w14:paraId="0EC91B71" w14:textId="35D1D57B" w:rsidR="003D4454" w:rsidRPr="00C9671E" w:rsidRDefault="003D4454" w:rsidP="006E4EB0">
            <w:pPr>
              <w:numPr>
                <w:ilvl w:val="0"/>
                <w:numId w:val="47"/>
              </w:num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развие нов интегриран ИТ-даночен систем за Управата за јавни приходи, да</w:t>
            </w:r>
            <w:r>
              <w:rPr>
                <w:rFonts w:ascii="Times New Roman" w:hAnsi="Times New Roman" w:cs="Times New Roman"/>
                <w:sz w:val="24"/>
                <w:szCs w:val="24"/>
              </w:rPr>
              <w:t xml:space="preserve"> ја подобри</w:t>
            </w:r>
            <w:r w:rsidRPr="00C9671E">
              <w:rPr>
                <w:rFonts w:ascii="Times New Roman" w:hAnsi="Times New Roman" w:cs="Times New Roman"/>
                <w:sz w:val="24"/>
                <w:szCs w:val="24"/>
              </w:rPr>
              <w:t xml:space="preserve"> негов</w:t>
            </w:r>
            <w:r>
              <w:rPr>
                <w:rFonts w:ascii="Times New Roman" w:hAnsi="Times New Roman" w:cs="Times New Roman"/>
                <w:sz w:val="24"/>
                <w:szCs w:val="24"/>
              </w:rPr>
              <w:t xml:space="preserve">ата усогласеност во управувањето со </w:t>
            </w:r>
            <w:r w:rsidRPr="00C9671E">
              <w:rPr>
                <w:rFonts w:ascii="Times New Roman" w:hAnsi="Times New Roman" w:cs="Times New Roman"/>
                <w:sz w:val="24"/>
                <w:szCs w:val="24"/>
              </w:rPr>
              <w:t>ризици и дополнително да ги прошири електронските услуги за даночните обврзници;</w:t>
            </w:r>
          </w:p>
          <w:p w14:paraId="542E7E1D" w14:textId="77777777" w:rsidR="003D4454" w:rsidRPr="00C9671E" w:rsidRDefault="003D4454" w:rsidP="006E4EB0">
            <w:pPr>
              <w:numPr>
                <w:ilvl w:val="0"/>
                <w:numId w:val="47"/>
              </w:num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започне со подготовка за воспоставување механизам за ефективно спроведување на автоматска размена на даночни информации со земјите членки на ЕУ во согласност со Глобалниот стандард на ОЕЦД.</w:t>
            </w:r>
          </w:p>
          <w:p w14:paraId="16A903FE" w14:textId="77777777" w:rsidR="003D4454" w:rsidRPr="00C9671E" w:rsidRDefault="003D4454" w:rsidP="006E4EB0">
            <w:pPr>
              <w:numPr>
                <w:ilvl w:val="0"/>
                <w:numId w:val="47"/>
              </w:num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до крајот на 2022 година да го измени Законот за технолошки и индустриски развојни зони.</w:t>
            </w:r>
          </w:p>
        </w:tc>
      </w:tr>
    </w:tbl>
    <w:p w14:paraId="54208D4D" w14:textId="377F70B6"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Во однос на </w:t>
      </w:r>
      <w:r w:rsidRPr="00C9671E">
        <w:rPr>
          <w:rFonts w:ascii="Times New Roman" w:hAnsi="Times New Roman" w:cs="Times New Roman"/>
          <w:b/>
          <w:bCs/>
          <w:sz w:val="24"/>
          <w:szCs w:val="24"/>
        </w:rPr>
        <w:t>индиректното оданочување</w:t>
      </w:r>
      <w:r w:rsidRPr="00C9671E">
        <w:rPr>
          <w:rFonts w:ascii="Times New Roman" w:hAnsi="Times New Roman" w:cs="Times New Roman"/>
          <w:sz w:val="24"/>
          <w:szCs w:val="24"/>
        </w:rPr>
        <w:t xml:space="preserve">, Законот за ДДВ беше изменет и дополнет во март 2022 година за да се овозможи ослободување од ДДВ за неопходните производи за потрошувачка до 31 мај 2022 година. Повластена ДДВ стапка од 10 % беше воведена за некои енергетски </w:t>
      </w:r>
      <w:r>
        <w:rPr>
          <w:rFonts w:ascii="Times New Roman" w:hAnsi="Times New Roman" w:cs="Times New Roman"/>
          <w:sz w:val="24"/>
          <w:szCs w:val="24"/>
        </w:rPr>
        <w:t>производи</w:t>
      </w:r>
      <w:r w:rsidRPr="00C9671E">
        <w:rPr>
          <w:rFonts w:ascii="Times New Roman" w:hAnsi="Times New Roman" w:cs="Times New Roman"/>
          <w:sz w:val="24"/>
          <w:szCs w:val="24"/>
        </w:rPr>
        <w:t xml:space="preserve"> за да се ублажат ефектите од високите меѓународни цени за енергија. Примената на повластена ДДВ стапка од 5 % за електрична енергија за домаќинства беше продолжена до крајот на 2022 година. Останува </w:t>
      </w:r>
      <w:r>
        <w:rPr>
          <w:rFonts w:ascii="Times New Roman" w:hAnsi="Times New Roman" w:cs="Times New Roman"/>
          <w:sz w:val="24"/>
          <w:szCs w:val="24"/>
        </w:rPr>
        <w:t>доцнењето</w:t>
      </w:r>
      <w:r w:rsidRPr="00C9671E">
        <w:rPr>
          <w:rFonts w:ascii="Times New Roman" w:hAnsi="Times New Roman" w:cs="Times New Roman"/>
          <w:sz w:val="24"/>
          <w:szCs w:val="24"/>
        </w:rPr>
        <w:t xml:space="preserve"> во процесот на поврат на ДДВ, иако во 2021 година тој се подобри со 55 % поврат на побарувањата во рамките на законскиот рок. Законот за акцизи беше изменет и дополнет во март 2022 година за да се овозможи намалување на акцизите за гас и производи од нафта, со цел да се ублажи влијанието на високите меѓународни цени за енергија за крајните потрошувачи. Регулативата за спроведување што беше донесена за да се извршат овие промени остана во сила до </w:t>
      </w:r>
      <w:r>
        <w:rPr>
          <w:rFonts w:ascii="Times New Roman" w:hAnsi="Times New Roman" w:cs="Times New Roman"/>
          <w:sz w:val="24"/>
          <w:szCs w:val="24"/>
        </w:rPr>
        <w:t>3</w:t>
      </w:r>
      <w:r w:rsidRPr="00C9671E">
        <w:rPr>
          <w:rFonts w:ascii="Times New Roman" w:hAnsi="Times New Roman" w:cs="Times New Roman"/>
          <w:sz w:val="24"/>
          <w:szCs w:val="24"/>
        </w:rPr>
        <w:t>1 мај 2022 година.</w:t>
      </w:r>
    </w:p>
    <w:p w14:paraId="7FD9A4E6"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Нема промени во однос на </w:t>
      </w:r>
      <w:r w:rsidRPr="00C9671E">
        <w:rPr>
          <w:rFonts w:ascii="Times New Roman" w:hAnsi="Times New Roman" w:cs="Times New Roman"/>
          <w:b/>
          <w:bCs/>
          <w:sz w:val="24"/>
          <w:szCs w:val="24"/>
        </w:rPr>
        <w:t xml:space="preserve">директното оданочување. </w:t>
      </w:r>
      <w:r w:rsidRPr="00C9671E">
        <w:rPr>
          <w:rFonts w:ascii="Times New Roman" w:hAnsi="Times New Roman" w:cs="Times New Roman"/>
          <w:sz w:val="24"/>
          <w:szCs w:val="24"/>
        </w:rPr>
        <w:t>Рамна стапка од 10 % се применува за персоналниот данок на доход. Остануваат исклучок каматите на заштеди и капитални добивки од хартии од вредност. Земјата треба да го усогласи своето законодавство со Директивата за спојувања.</w:t>
      </w:r>
    </w:p>
    <w:p w14:paraId="5B981B44" w14:textId="19F7BF52"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административна соработка и заемна помош</w:t>
      </w:r>
      <w:r w:rsidRPr="00C9671E">
        <w:rPr>
          <w:rFonts w:ascii="Times New Roman" w:hAnsi="Times New Roman" w:cs="Times New Roman"/>
          <w:sz w:val="24"/>
          <w:szCs w:val="24"/>
        </w:rPr>
        <w:t>, Северна Македонија потпиша 50 договори за двојно оданочување, вклучително и со сите земји членки на ЕУ, освен Кипар, Грција, Малта и Португалија. Земјата сè уште не се обврзала со датум за почеток на примена на стандардот на Организацијата за економска соработка и развој (ОЕЦД) за автоматска размена на информации за финансиски сметки. Земјата останува посветена на спроведувањето на минималните стандарди на Инклузивната рамка на ОЕЦД за основна ерозија и споделување профит (БЕПС). Северна Македонија се обврз</w:t>
      </w:r>
      <w:r>
        <w:rPr>
          <w:rFonts w:ascii="Times New Roman" w:hAnsi="Times New Roman" w:cs="Times New Roman"/>
          <w:sz w:val="24"/>
          <w:szCs w:val="24"/>
        </w:rPr>
        <w:t>а</w:t>
      </w:r>
      <w:r w:rsidRPr="00C9671E">
        <w:rPr>
          <w:rFonts w:ascii="Times New Roman" w:hAnsi="Times New Roman" w:cs="Times New Roman"/>
          <w:sz w:val="24"/>
          <w:szCs w:val="24"/>
        </w:rPr>
        <w:t xml:space="preserve"> до крајот на 2022 година да го измени својот повластен даночен режим во слободни</w:t>
      </w:r>
      <w:r>
        <w:rPr>
          <w:rFonts w:ascii="Times New Roman" w:hAnsi="Times New Roman" w:cs="Times New Roman"/>
          <w:sz w:val="24"/>
          <w:szCs w:val="24"/>
        </w:rPr>
        <w:t>те</w:t>
      </w:r>
      <w:r w:rsidRPr="00C9671E">
        <w:rPr>
          <w:rFonts w:ascii="Times New Roman" w:hAnsi="Times New Roman" w:cs="Times New Roman"/>
          <w:sz w:val="24"/>
          <w:szCs w:val="24"/>
        </w:rPr>
        <w:t xml:space="preserve"> економски зони, во рамката на Форумот за штетни даночни практики и во сопствените напори на ЕУ да го унапреди доброто даночно владеење.</w:t>
      </w:r>
    </w:p>
    <w:p w14:paraId="755AE886" w14:textId="794BB3D1"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оперативниот капацитет и компјутеризацијата</w:t>
      </w:r>
      <w:r w:rsidRPr="00C9671E">
        <w:rPr>
          <w:rFonts w:ascii="Times New Roman" w:hAnsi="Times New Roman" w:cs="Times New Roman"/>
          <w:sz w:val="24"/>
          <w:szCs w:val="24"/>
        </w:rPr>
        <w:t xml:space="preserve">, Управата за јавни приходи сè уште треба да ги подобри своите деловни процеси, да </w:t>
      </w:r>
      <w:r>
        <w:rPr>
          <w:rFonts w:ascii="Times New Roman" w:hAnsi="Times New Roman" w:cs="Times New Roman"/>
          <w:sz w:val="24"/>
          <w:szCs w:val="24"/>
        </w:rPr>
        <w:t>спроведе</w:t>
      </w:r>
      <w:r w:rsidRPr="00C9671E">
        <w:rPr>
          <w:rFonts w:ascii="Times New Roman" w:hAnsi="Times New Roman" w:cs="Times New Roman"/>
          <w:sz w:val="24"/>
          <w:szCs w:val="24"/>
        </w:rPr>
        <w:t xml:space="preserve"> нов интегриран ИТ-даночен систем, да развие усогласеност на управувањето со ризиците и дополнително да ги прошири електронските услуги. Се спроведува Стратегијата за реформа на даночниот систем за периодот</w:t>
      </w:r>
      <w:r>
        <w:rPr>
          <w:rFonts w:ascii="Times New Roman" w:hAnsi="Times New Roman" w:cs="Times New Roman"/>
          <w:sz w:val="24"/>
          <w:szCs w:val="24"/>
        </w:rPr>
        <w:t xml:space="preserve"> од</w:t>
      </w:r>
      <w:r w:rsidRPr="00C9671E">
        <w:rPr>
          <w:rFonts w:ascii="Times New Roman" w:hAnsi="Times New Roman" w:cs="Times New Roman"/>
          <w:sz w:val="24"/>
          <w:szCs w:val="24"/>
        </w:rPr>
        <w:t xml:space="preserve"> 2021-2025 година. Управата за јавни приходи (УЈП) го поддржува доброволното исполнување на даночната обврска со издавање претходно пополнети годишни даночни пријави преку електронската платформа за персонален данок. Продолжи спроведувањето на шемата за монетарен поттик на клиентите да бараат фактури и сметки при купување, со цел борба против сивата економија. УЈП продолжува да учествува во заеднички инспекциски надзор со други државни органи за идентификување на неплатени даночни обврски и нерегистрирани даночни обврзници со цел подобрување на наплатата на даноците.</w:t>
      </w:r>
    </w:p>
    <w:p w14:paraId="3B97614E" w14:textId="77777777" w:rsidR="003D4454" w:rsidRPr="00C9671E" w:rsidRDefault="003D4454" w:rsidP="006E4EB0">
      <w:pPr>
        <w:pStyle w:val="Heading3"/>
        <w:jc w:val="both"/>
      </w:pPr>
      <w:bookmarkStart w:id="202" w:name="bookmark62"/>
      <w:bookmarkStart w:id="203" w:name="bookmark61"/>
      <w:bookmarkStart w:id="204" w:name="_Toc9430366"/>
      <w:bookmarkStart w:id="205" w:name="_Toc51252789"/>
      <w:bookmarkStart w:id="206" w:name="_Toc84329792"/>
      <w:bookmarkStart w:id="207" w:name="_Toc84631594"/>
      <w:bookmarkStart w:id="208" w:name="_Toc115619804"/>
      <w:bookmarkStart w:id="209" w:name="_Toc117004175"/>
      <w:r w:rsidRPr="00C9671E">
        <w:t>Поглавје 17</w:t>
      </w:r>
      <w:r w:rsidRPr="00705B41">
        <w:t>:</w:t>
      </w:r>
      <w:r w:rsidRPr="00C9671E">
        <w:t xml:space="preserve"> Економска и монетарна политика</w:t>
      </w:r>
      <w:bookmarkEnd w:id="202"/>
      <w:bookmarkEnd w:id="203"/>
      <w:bookmarkEnd w:id="204"/>
      <w:bookmarkEnd w:id="205"/>
      <w:bookmarkEnd w:id="206"/>
      <w:bookmarkEnd w:id="207"/>
      <w:bookmarkEnd w:id="208"/>
      <w:bookmarkEnd w:id="209"/>
    </w:p>
    <w:p w14:paraId="397CB44B" w14:textId="77777777" w:rsidR="003D4454" w:rsidRPr="00C9671E" w:rsidRDefault="003D4454" w:rsidP="006E4EB0">
      <w:pPr>
        <w:keepNext/>
        <w:spacing w:before="120" w:after="120" w:line="240" w:lineRule="auto"/>
        <w:ind w:right="140"/>
        <w:jc w:val="both"/>
        <w:rPr>
          <w:rFonts w:ascii="Times New Roman" w:eastAsia="Times New Roman" w:hAnsi="Times New Roman" w:cs="Times New Roman"/>
          <w:i/>
          <w:iCs/>
          <w:sz w:val="24"/>
          <w:szCs w:val="24"/>
        </w:rPr>
      </w:pPr>
      <w:r>
        <w:rPr>
          <w:rFonts w:ascii="Times New Roman" w:hAnsi="Times New Roman" w:cs="Times New Roman"/>
          <w:i/>
          <w:sz w:val="24"/>
          <w:szCs w:val="24"/>
        </w:rPr>
        <w:t xml:space="preserve">Правилата на </w:t>
      </w:r>
      <w:r w:rsidRPr="00C9671E">
        <w:rPr>
          <w:rFonts w:ascii="Times New Roman" w:hAnsi="Times New Roman" w:cs="Times New Roman"/>
          <w:i/>
          <w:sz w:val="24"/>
          <w:szCs w:val="24"/>
        </w:rPr>
        <w:t>ЕУ бараат независност на централните банки и им забрануваат директно да го финансираат јавниот сектор. Земјите членки на ЕУ ги координираат своите економски политики и се предмет на фискален, економски и финансиски надзор.</w:t>
      </w:r>
    </w:p>
    <w:p w14:paraId="001D7B9D" w14:textId="2FBDA394" w:rsidR="003D4454" w:rsidRPr="00C9671E" w:rsidRDefault="003D4454" w:rsidP="006E4EB0">
      <w:pPr>
        <w:pBdr>
          <w:top w:val="single" w:sz="4" w:space="0" w:color="auto"/>
          <w:left w:val="single" w:sz="4" w:space="4" w:color="auto"/>
          <w:bottom w:val="single" w:sz="4" w:space="1" w:color="auto"/>
          <w:right w:val="single" w:sz="4" w:space="4" w:color="auto"/>
        </w:pBdr>
        <w:shd w:val="clear" w:color="auto" w:fill="D9D9D9"/>
        <w:spacing w:before="120" w:after="120" w:line="240" w:lineRule="auto"/>
        <w:ind w:right="140"/>
        <w:jc w:val="both"/>
        <w:rPr>
          <w:rFonts w:ascii="Times New Roman" w:eastAsia="Times New Roman" w:hAnsi="Times New Roman" w:cs="Times New Roman"/>
          <w:sz w:val="24"/>
          <w:szCs w:val="24"/>
          <w:u w:val="single"/>
        </w:rPr>
      </w:pPr>
      <w:r w:rsidRPr="00C9671E">
        <w:rPr>
          <w:rFonts w:ascii="Times New Roman" w:hAnsi="Times New Roman" w:cs="Times New Roman"/>
          <w:sz w:val="24"/>
          <w:szCs w:val="24"/>
        </w:rPr>
        <w:t xml:space="preserve">Земјата и натаму е умерено подготвена </w:t>
      </w:r>
      <w:bookmarkStart w:id="210" w:name="_Int_xRBDDkp5"/>
      <w:r w:rsidRPr="00C9671E">
        <w:rPr>
          <w:rFonts w:ascii="Times New Roman" w:hAnsi="Times New Roman" w:cs="Times New Roman"/>
          <w:sz w:val="24"/>
          <w:szCs w:val="24"/>
        </w:rPr>
        <w:t xml:space="preserve">во делот на </w:t>
      </w:r>
      <w:bookmarkEnd w:id="210"/>
      <w:r w:rsidRPr="00C9671E">
        <w:rPr>
          <w:rFonts w:ascii="Times New Roman" w:hAnsi="Times New Roman" w:cs="Times New Roman"/>
          <w:sz w:val="24"/>
          <w:szCs w:val="24"/>
        </w:rPr>
        <w:t xml:space="preserve">економската и монетарната политика. Постигнат е </w:t>
      </w:r>
      <w:r w:rsidRPr="00C9671E">
        <w:rPr>
          <w:rFonts w:ascii="Times New Roman" w:hAnsi="Times New Roman" w:cs="Times New Roman"/>
          <w:b/>
          <w:sz w:val="24"/>
          <w:szCs w:val="24"/>
        </w:rPr>
        <w:t>добар напредок</w:t>
      </w:r>
      <w:r w:rsidRPr="00C9671E">
        <w:rPr>
          <w:rFonts w:ascii="Times New Roman" w:hAnsi="Times New Roman" w:cs="Times New Roman"/>
          <w:sz w:val="24"/>
          <w:szCs w:val="24"/>
        </w:rPr>
        <w:t xml:space="preserve"> со донесувањето на Законот за буџети, кој предвидува фискални правила и фискален совет. Понатаму беа спроведени мерки за спротивставување на социо</w:t>
      </w:r>
      <w:r>
        <w:rPr>
          <w:rFonts w:ascii="Times New Roman" w:hAnsi="Times New Roman" w:cs="Times New Roman"/>
          <w:sz w:val="24"/>
          <w:szCs w:val="24"/>
        </w:rPr>
        <w:t>-</w:t>
      </w:r>
      <w:r w:rsidRPr="00C9671E">
        <w:rPr>
          <w:rFonts w:ascii="Times New Roman" w:hAnsi="Times New Roman" w:cs="Times New Roman"/>
          <w:sz w:val="24"/>
          <w:szCs w:val="24"/>
        </w:rPr>
        <w:t xml:space="preserve">економското влијание од КОВИД-19 и беа воспоставени краткорочни мерки насочени кон ублажување на економското влијание од војната во </w:t>
      </w:r>
      <w:r w:rsidRPr="00C9671E">
        <w:rPr>
          <w:rFonts w:ascii="Times New Roman" w:hAnsi="Times New Roman" w:cs="Times New Roman"/>
          <w:sz w:val="24"/>
          <w:szCs w:val="24"/>
        </w:rPr>
        <w:lastRenderedPageBreak/>
        <w:t>Украина. Во однос на монетарната политика, усогласувањето на правната рамка на земјата со правото на ЕУ е во напредна фаза. Во однос на економската политика, усогласувањето е само делумно, и сѐ уште постојат недостатоци, вклучително и во однос на управувањето со јавните инвестиции. Бидејќи препораките на Комисијата за 2021 година не беа целосно спроведени, во наредната година Северна Македонија особено треба:</w:t>
      </w:r>
    </w:p>
    <w:p w14:paraId="061BEBC3" w14:textId="77777777" w:rsidR="003D4454" w:rsidRPr="00C9671E" w:rsidRDefault="003D4454" w:rsidP="006E4EB0">
      <w:pPr>
        <w:numPr>
          <w:ilvl w:val="0"/>
          <w:numId w:val="48"/>
        </w:numPr>
        <w:pBdr>
          <w:top w:val="single" w:sz="4" w:space="0" w:color="auto"/>
          <w:left w:val="single" w:sz="4" w:space="4" w:color="auto"/>
          <w:bottom w:val="single" w:sz="4" w:space="1" w:color="auto"/>
          <w:right w:val="single" w:sz="4" w:space="4" w:color="auto"/>
        </w:pBdr>
        <w:shd w:val="clear" w:color="auto" w:fill="D9D9D9"/>
        <w:spacing w:before="120" w:after="120" w:line="240" w:lineRule="auto"/>
        <w:ind w:right="140"/>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го спроведе Законот за буџети, кој вклучува одредби за фискални правила, фискален совет и среднорочна буџетска рамка;</w:t>
      </w:r>
    </w:p>
    <w:p w14:paraId="78305461" w14:textId="1939304C" w:rsidR="003D4454" w:rsidRPr="00C9671E" w:rsidRDefault="003D4454" w:rsidP="006E4EB0">
      <w:pPr>
        <w:numPr>
          <w:ilvl w:val="0"/>
          <w:numId w:val="48"/>
        </w:numPr>
        <w:pBdr>
          <w:top w:val="single" w:sz="4" w:space="0" w:color="auto"/>
          <w:left w:val="single" w:sz="4" w:space="4" w:color="auto"/>
          <w:bottom w:val="single" w:sz="4" w:space="1" w:color="auto"/>
          <w:right w:val="single" w:sz="4" w:space="4" w:color="auto"/>
        </w:pBdr>
        <w:shd w:val="clear" w:color="auto" w:fill="D9D9D9"/>
        <w:spacing w:before="120" w:after="120" w:line="240" w:lineRule="auto"/>
        <w:ind w:right="140"/>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обезбеди навремено формирање независен фискален совет;</w:t>
      </w:r>
    </w:p>
    <w:p w14:paraId="712212D2" w14:textId="77777777" w:rsidR="003D4454" w:rsidRPr="00C9671E" w:rsidRDefault="003D4454" w:rsidP="006E4EB0">
      <w:pPr>
        <w:numPr>
          <w:ilvl w:val="0"/>
          <w:numId w:val="48"/>
        </w:numPr>
        <w:pBdr>
          <w:top w:val="single" w:sz="4" w:space="0" w:color="auto"/>
          <w:left w:val="single" w:sz="4" w:space="4" w:color="auto"/>
          <w:bottom w:val="single" w:sz="4" w:space="1" w:color="auto"/>
          <w:right w:val="single" w:sz="4" w:space="4" w:color="auto"/>
        </w:pBdr>
        <w:shd w:val="clear" w:color="auto" w:fill="D9D9D9"/>
        <w:spacing w:before="120" w:after="120" w:line="240" w:lineRule="auto"/>
        <w:ind w:right="140"/>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ја исклучи централната банка од опсегот на Законот за административни службеници и Законот за вработените во јавниот сектор за да ја заштити својата целосна независност.</w:t>
      </w:r>
    </w:p>
    <w:p w14:paraId="4338E678" w14:textId="41FE8AAF"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монетарната политика</w:t>
      </w:r>
      <w:r w:rsidRPr="00C9671E">
        <w:rPr>
          <w:rFonts w:ascii="Times New Roman" w:hAnsi="Times New Roman" w:cs="Times New Roman"/>
          <w:sz w:val="24"/>
          <w:szCs w:val="24"/>
        </w:rPr>
        <w:t xml:space="preserve">, усогласувањето на правната рамка на земјата со правото на ЕУ продолжува да биде во напредна фаза. Во согласност со целите на Евросистемот/Европскиот систем на централни банки, централната банка ја следи стабилноста на цените како нејзина примарна цел и го поддржува економскиот раст преку своите политики. Ја презема централната улога за претпазлив надзор на банкарскиот сектор и дејствува како гарант на финансиската стабилност. Оперативната и финансиската независност на централната банка е предвидена во Законот за Народната банка. Меѓутоа, за да се заштити независноста на централната банка во нејзините клучни законски задачи, вклучително и во прашањата за службениците, во согласност со законот, централната банка треба да биде исклучена од опсегот на Законот за административни службеници и од Законот за вработените во јавниот сектор. Исто така, централната банка треба да </w:t>
      </w:r>
      <w:r>
        <w:rPr>
          <w:rFonts w:ascii="Times New Roman" w:hAnsi="Times New Roman" w:cs="Times New Roman"/>
          <w:sz w:val="24"/>
          <w:szCs w:val="24"/>
        </w:rPr>
        <w:t xml:space="preserve">биде во </w:t>
      </w:r>
      <w:r w:rsidRPr="00C9671E">
        <w:rPr>
          <w:rFonts w:ascii="Times New Roman" w:hAnsi="Times New Roman" w:cs="Times New Roman"/>
          <w:sz w:val="24"/>
          <w:szCs w:val="24"/>
        </w:rPr>
        <w:t>мож</w:t>
      </w:r>
      <w:r>
        <w:rPr>
          <w:rFonts w:ascii="Times New Roman" w:hAnsi="Times New Roman" w:cs="Times New Roman"/>
          <w:sz w:val="24"/>
          <w:szCs w:val="24"/>
        </w:rPr>
        <w:t>ност</w:t>
      </w:r>
      <w:r w:rsidRPr="00C9671E">
        <w:rPr>
          <w:rFonts w:ascii="Times New Roman" w:hAnsi="Times New Roman" w:cs="Times New Roman"/>
          <w:sz w:val="24"/>
          <w:szCs w:val="24"/>
        </w:rPr>
        <w:t xml:space="preserve"> да спроведува внатрешни организации, планови за вработување и трансфер на вработени од други јавни институции, без да бара одобрение од Министерството за информатичко општество и администрација или од други министерства.</w:t>
      </w:r>
    </w:p>
    <w:p w14:paraId="78EE5DE3" w14:textId="7505B5E5" w:rsidR="003D4454" w:rsidRPr="00C9671E" w:rsidRDefault="003D4454" w:rsidP="006E4EB0">
      <w:pPr>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економската политика</w:t>
      </w:r>
      <w:r w:rsidRPr="00C9671E">
        <w:rPr>
          <w:rFonts w:ascii="Times New Roman" w:hAnsi="Times New Roman" w:cs="Times New Roman"/>
          <w:sz w:val="24"/>
          <w:szCs w:val="24"/>
        </w:rPr>
        <w:t xml:space="preserve">, Северна Македонија во септември 2022 година го донесе Законот за буџети со кој се воспоставуваат нумерички фискални правила за дефицитот и долгот на Општата Влада, со цел усогласување со Директивата за буџетски рамки на ЕУ. </w:t>
      </w:r>
      <w:r w:rsidRPr="00C9671E">
        <w:rPr>
          <w:rFonts w:ascii="Times New Roman" w:hAnsi="Times New Roman" w:cs="Times New Roman"/>
          <w:color w:val="000000"/>
          <w:sz w:val="24"/>
          <w:szCs w:val="24"/>
        </w:rPr>
        <w:t xml:space="preserve">Законот содржи и одредби за формирање независно фискално тело за следење на усогласеноста со правилата, како и за зајакната среднорочна фискална рамка. Во моментов, повеќегодишната фискална стратегија ги предвидува приходите, расходите и дефицитот за 5-годишен период. Додека, генерално, овие проекции обезбедуваат основа за годишниот буџет на годината t, </w:t>
      </w:r>
      <w:r>
        <w:rPr>
          <w:rFonts w:ascii="Times New Roman" w:hAnsi="Times New Roman" w:cs="Times New Roman"/>
          <w:color w:val="000000"/>
          <w:sz w:val="24"/>
          <w:szCs w:val="24"/>
        </w:rPr>
        <w:t>постојаните</w:t>
      </w:r>
      <w:r w:rsidRPr="00C9671E">
        <w:rPr>
          <w:rFonts w:ascii="Times New Roman" w:hAnsi="Times New Roman" w:cs="Times New Roman"/>
          <w:color w:val="000000"/>
          <w:sz w:val="24"/>
          <w:szCs w:val="24"/>
        </w:rPr>
        <w:t xml:space="preserve"> ревизии на буџетот во средината на годината често бараат значителни приспособувања на повеќегодишната фискална стратегија. Оттука, Владата ја ревидираше Фискалната стратегија 2022-2024 година во декември 2021 година, откако ребалансот на буџетот од јули 2021 година ја застари првичната фискална стратегија донесена во јуни 2021 година. Оригиналниот буџет за 2022 година се засноваше врз овие претпоставки, но мораше да се ревидира во мај 2022 година, бидејќи требаше да се приспособи новиот збир мерки за фискална поддршка за да се ублажи влијанието на повисоките цени на енергијата и храната врз компаниите и домаќинствата, зголемувајќи ја целта на дефицитот. И во мај 2022 година Владата ја донесе Фискалната стратегија 2023-2025 година. Таа се заснова врз застарени проекции за раст и инфлација и веројатно нема да обезбеди веродостојна основа за претстојниот нацрт-буџет за 2023 година. Во моментов во Министерството за финансии се прават макроекономски и фискални проекции. По </w:t>
      </w:r>
      <w:r w:rsidRPr="00C9671E">
        <w:rPr>
          <w:rFonts w:ascii="Times New Roman" w:hAnsi="Times New Roman" w:cs="Times New Roman"/>
          <w:color w:val="000000"/>
          <w:sz w:val="24"/>
          <w:szCs w:val="24"/>
        </w:rPr>
        <w:lastRenderedPageBreak/>
        <w:t>спроведувањето на ЗБ, новиот фискален совет се очекува да ја преземе одговорноста за проекциите за подготовка на годишниот буџет и Фискалната стратегија.</w:t>
      </w:r>
    </w:p>
    <w:p w14:paraId="6B94B490" w14:textId="2562D35F" w:rsidR="003D4454" w:rsidRPr="00C9671E" w:rsidRDefault="003D4454" w:rsidP="006E4EB0">
      <w:pPr>
        <w:suppressAutoHyphens/>
        <w:spacing w:before="120" w:after="120" w:line="240" w:lineRule="auto"/>
        <w:jc w:val="both"/>
        <w:rPr>
          <w:rFonts w:ascii="Times New Roman" w:eastAsia="SymbolMT" w:hAnsi="Times New Roman" w:cs="Times New Roman"/>
          <w:sz w:val="24"/>
          <w:szCs w:val="24"/>
        </w:rPr>
      </w:pPr>
      <w:r w:rsidRPr="00C9671E">
        <w:rPr>
          <w:rFonts w:ascii="Times New Roman" w:hAnsi="Times New Roman" w:cs="Times New Roman"/>
          <w:sz w:val="24"/>
          <w:szCs w:val="24"/>
        </w:rPr>
        <w:t xml:space="preserve">Достапноста и квалитетот на статистиката на постапката за прекумерен дефицит (ППД) се влошија во извештајот од април 2022 година. Табелите за извештајот ги содржеа само податоците за 2018-2020 година, кои веќе беа пријавени во октомври 2021 година. Недостасува усогласеност на податоците со ЕСС 2010 во голем број области, како што е разграничувањето на </w:t>
      </w:r>
      <w:r>
        <w:rPr>
          <w:rFonts w:ascii="Times New Roman" w:hAnsi="Times New Roman" w:cs="Times New Roman"/>
          <w:sz w:val="24"/>
          <w:szCs w:val="24"/>
        </w:rPr>
        <w:t xml:space="preserve">генералниот </w:t>
      </w:r>
      <w:r w:rsidRPr="00C9671E">
        <w:rPr>
          <w:rFonts w:ascii="Times New Roman" w:hAnsi="Times New Roman" w:cs="Times New Roman"/>
          <w:sz w:val="24"/>
          <w:szCs w:val="24"/>
        </w:rPr>
        <w:t>сектор на Влада</w:t>
      </w:r>
      <w:r>
        <w:rPr>
          <w:rFonts w:ascii="Times New Roman" w:hAnsi="Times New Roman" w:cs="Times New Roman"/>
          <w:sz w:val="24"/>
          <w:szCs w:val="24"/>
        </w:rPr>
        <w:t>та</w:t>
      </w:r>
      <w:r w:rsidRPr="00C9671E">
        <w:rPr>
          <w:rFonts w:ascii="Times New Roman" w:hAnsi="Times New Roman" w:cs="Times New Roman"/>
          <w:sz w:val="24"/>
          <w:szCs w:val="24"/>
        </w:rPr>
        <w:t>, што бара рекласификација на релевантните претпријатија од јавниот сектор. Владата го објавува износот на државните гаранции за претпријатијата од јавниот сектор, кои претставуваат потенцијални обврски за Владата.</w:t>
      </w:r>
    </w:p>
    <w:p w14:paraId="42DFF61E" w14:textId="5B53B7F4" w:rsidR="003D4454" w:rsidRPr="00C9671E" w:rsidRDefault="003D4454" w:rsidP="006E4EB0">
      <w:pPr>
        <w:autoSpaceDE w:val="0"/>
        <w:autoSpaceDN w:val="0"/>
        <w:adjustRightInd w:val="0"/>
        <w:spacing w:before="120" w:after="120" w:line="240" w:lineRule="auto"/>
        <w:jc w:val="both"/>
        <w:rPr>
          <w:rFonts w:ascii="Times New Roman" w:eastAsia="Times New Roman" w:hAnsi="Times New Roman" w:cs="Times New Roman"/>
          <w:sz w:val="24"/>
          <w:szCs w:val="24"/>
        </w:rPr>
      </w:pPr>
      <w:r w:rsidRPr="00C9671E">
        <w:rPr>
          <w:rFonts w:ascii="Times New Roman" w:hAnsi="Times New Roman" w:cs="Times New Roman"/>
          <w:b/>
          <w:sz w:val="24"/>
          <w:szCs w:val="24"/>
        </w:rPr>
        <w:t>Програмата за економски реформи</w:t>
      </w:r>
      <w:r w:rsidRPr="00C9671E">
        <w:rPr>
          <w:rFonts w:ascii="Times New Roman" w:hAnsi="Times New Roman" w:cs="Times New Roman"/>
          <w:sz w:val="24"/>
          <w:szCs w:val="24"/>
        </w:rPr>
        <w:t xml:space="preserve"> (ПЕР) за 2022-2024 година беше доставена навреме. Макроекономската рамка е кохерентна и конзистентна, но е премногу оптимистичка. Во однос на структурните реформи, фокусот е на зелената транзиција. Земјата делумно ги спроведе политичките конкретните насоки за земјата, заеднички донесени од ЕУ и Западен Балкан и Турција на министерско ниво во јули 2021 година. Напорите да се претвори ПЕР во пополитички релевантен документ за водење на економските реформи конзистентни со други национални планови и стратегии треба да продолжат.</w:t>
      </w:r>
    </w:p>
    <w:p w14:paraId="24F1B5D7" w14:textId="3A0114CD" w:rsidR="003D4454" w:rsidRPr="00C9671E" w:rsidRDefault="003D4454" w:rsidP="006E4EB0">
      <w:pPr>
        <w:pStyle w:val="Heading3"/>
        <w:jc w:val="both"/>
      </w:pPr>
      <w:bookmarkStart w:id="211" w:name="_Toc9430368"/>
      <w:bookmarkStart w:id="212" w:name="_Toc51252791"/>
      <w:bookmarkStart w:id="213" w:name="_Toc84329793"/>
      <w:bookmarkStart w:id="214" w:name="_Toc84631595"/>
      <w:bookmarkStart w:id="215" w:name="_Toc115619805"/>
      <w:bookmarkStart w:id="216" w:name="_Toc117004176"/>
      <w:r w:rsidRPr="00C9671E">
        <w:t>Поглавје 19</w:t>
      </w:r>
      <w:r w:rsidRPr="00705B41">
        <w:t>:</w:t>
      </w:r>
      <w:r w:rsidRPr="00C9671E">
        <w:t xml:space="preserve"> Социјална политика и вработување</w:t>
      </w:r>
      <w:bookmarkEnd w:id="211"/>
      <w:bookmarkEnd w:id="212"/>
      <w:bookmarkEnd w:id="213"/>
      <w:bookmarkEnd w:id="214"/>
      <w:bookmarkEnd w:id="215"/>
      <w:bookmarkEnd w:id="216"/>
    </w:p>
    <w:p w14:paraId="67D9C3E2" w14:textId="5687DAF5"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bookmarkStart w:id="217" w:name="_Toc9430369"/>
      <w:bookmarkStart w:id="218" w:name="_Toc51252792"/>
      <w:bookmarkStart w:id="219" w:name="_Toc84329794"/>
      <w:bookmarkStart w:id="220" w:name="_Toc84631596"/>
      <w:bookmarkStart w:id="221" w:name="_Toc115619806"/>
      <w:r w:rsidRPr="00C9671E">
        <w:rPr>
          <w:rFonts w:ascii="Times New Roman" w:hAnsi="Times New Roman" w:cs="Times New Roman"/>
          <w:i/>
          <w:sz w:val="24"/>
          <w:szCs w:val="24"/>
        </w:rPr>
        <w:t>Социјалните правила на ЕУ вклучуваат минимални стандарди за трудово право, еднаквост, здравје и безбедност при работа и недискриминација. Тие, исто така, го унапредуваат социјалниот дијалог на ниво на Европската Унија.</w:t>
      </w:r>
    </w:p>
    <w:p w14:paraId="283C9995" w14:textId="63CE7FA2" w:rsidR="003D4454" w:rsidRPr="00C9671E" w:rsidRDefault="003D4454" w:rsidP="006E4EB0">
      <w:pPr>
        <w:pBdr>
          <w:top w:val="single" w:sz="4" w:space="1" w:color="auto"/>
          <w:left w:val="single" w:sz="4" w:space="1" w:color="auto"/>
          <w:bottom w:val="single" w:sz="4" w:space="1" w:color="auto"/>
          <w:right w:val="single" w:sz="4" w:space="1"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останува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областа на социјалната политика и вработувањето. 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со натамошното намалување на стапката на невработеност, зголемување на бенефициите за социјална помош и продолжување на спроведувањето на ублажувачки социо</w:t>
      </w:r>
      <w:r>
        <w:rPr>
          <w:rFonts w:ascii="Times New Roman" w:hAnsi="Times New Roman" w:cs="Times New Roman"/>
          <w:sz w:val="24"/>
          <w:szCs w:val="24"/>
        </w:rPr>
        <w:t>-</w:t>
      </w:r>
      <w:r w:rsidRPr="00C9671E">
        <w:rPr>
          <w:rFonts w:ascii="Times New Roman" w:hAnsi="Times New Roman" w:cs="Times New Roman"/>
          <w:sz w:val="24"/>
          <w:szCs w:val="24"/>
        </w:rPr>
        <w:t>економски мерки за справување со социо</w:t>
      </w:r>
      <w:r w:rsidRPr="00D96EE8">
        <w:rPr>
          <w:rFonts w:ascii="Times New Roman" w:hAnsi="Times New Roman" w:cs="Times New Roman"/>
          <w:sz w:val="24"/>
          <w:szCs w:val="24"/>
        </w:rPr>
        <w:t>-</w:t>
      </w:r>
      <w:r w:rsidRPr="00C9671E">
        <w:rPr>
          <w:rFonts w:ascii="Times New Roman" w:hAnsi="Times New Roman" w:cs="Times New Roman"/>
          <w:sz w:val="24"/>
          <w:szCs w:val="24"/>
        </w:rPr>
        <w:t xml:space="preserve">економското влијание на пандемијата на КОВИД-19. </w:t>
      </w:r>
      <w:r>
        <w:rPr>
          <w:rFonts w:ascii="Times New Roman" w:hAnsi="Times New Roman" w:cs="Times New Roman"/>
          <w:sz w:val="24"/>
          <w:szCs w:val="24"/>
        </w:rPr>
        <w:t>Спроведувањето</w:t>
      </w:r>
      <w:r w:rsidRPr="00C9671E">
        <w:rPr>
          <w:rFonts w:ascii="Times New Roman" w:hAnsi="Times New Roman" w:cs="Times New Roman"/>
          <w:sz w:val="24"/>
          <w:szCs w:val="24"/>
        </w:rPr>
        <w:t xml:space="preserve"> на шемата Младинска гаранција продолжи успешно во целата земја. </w:t>
      </w:r>
      <w:r>
        <w:rPr>
          <w:rFonts w:ascii="Times New Roman" w:hAnsi="Times New Roman" w:cs="Times New Roman"/>
          <w:sz w:val="24"/>
          <w:szCs w:val="24"/>
        </w:rPr>
        <w:t>Спроведувањето</w:t>
      </w:r>
      <w:r w:rsidRPr="00C9671E">
        <w:rPr>
          <w:rFonts w:ascii="Times New Roman" w:hAnsi="Times New Roman" w:cs="Times New Roman"/>
          <w:sz w:val="24"/>
          <w:szCs w:val="24"/>
        </w:rPr>
        <w:t xml:space="preserve"> на новиот Закон за социјална заштита резултираше со </w:t>
      </w:r>
      <w:r>
        <w:rPr>
          <w:rFonts w:ascii="Times New Roman" w:hAnsi="Times New Roman" w:cs="Times New Roman"/>
          <w:sz w:val="24"/>
          <w:szCs w:val="24"/>
        </w:rPr>
        <w:t>незначително</w:t>
      </w:r>
      <w:r w:rsidRPr="00C9671E">
        <w:rPr>
          <w:rFonts w:ascii="Times New Roman" w:hAnsi="Times New Roman" w:cs="Times New Roman"/>
          <w:sz w:val="24"/>
          <w:szCs w:val="24"/>
        </w:rPr>
        <w:t xml:space="preserve"> намалување на стапката на сиромаштија, која сепак останува висока.</w:t>
      </w:r>
    </w:p>
    <w:p w14:paraId="37DCB2DC" w14:textId="77777777" w:rsidR="003D4454" w:rsidRPr="00C9671E" w:rsidRDefault="003D4454" w:rsidP="006E4EB0">
      <w:pPr>
        <w:pBdr>
          <w:top w:val="single" w:sz="4" w:space="1" w:color="auto"/>
          <w:left w:val="single" w:sz="4" w:space="1" w:color="auto"/>
          <w:bottom w:val="single" w:sz="4" w:space="1" w:color="auto"/>
          <w:right w:val="single" w:sz="4" w:space="1"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Бидејќи минатогодишните препораки беа само делумно спроведени, тие и понатаму важат. Во наредната година земјата особено треба:</w:t>
      </w:r>
    </w:p>
    <w:p w14:paraId="28C67193" w14:textId="13480CF5" w:rsidR="003D4454" w:rsidRPr="00C9671E" w:rsidRDefault="003D4454" w:rsidP="00705B41">
      <w:pPr>
        <w:numPr>
          <w:ilvl w:val="0"/>
          <w:numId w:val="49"/>
        </w:numPr>
        <w:pBdr>
          <w:top w:val="single" w:sz="4" w:space="1" w:color="auto"/>
          <w:left w:val="single" w:sz="4" w:space="1"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продолжи да ги спроведува</w:t>
      </w:r>
      <w:r>
        <w:rPr>
          <w:rFonts w:ascii="Times New Roman" w:hAnsi="Times New Roman" w:cs="Times New Roman"/>
          <w:sz w:val="24"/>
          <w:szCs w:val="24"/>
        </w:rPr>
        <w:t xml:space="preserve"> активните</w:t>
      </w:r>
      <w:r w:rsidRPr="00C9671E">
        <w:rPr>
          <w:rFonts w:ascii="Times New Roman" w:hAnsi="Times New Roman" w:cs="Times New Roman"/>
          <w:sz w:val="24"/>
          <w:szCs w:val="24"/>
        </w:rPr>
        <w:t xml:space="preserve"> мерки</w:t>
      </w:r>
      <w:r>
        <w:rPr>
          <w:rFonts w:ascii="Times New Roman" w:hAnsi="Times New Roman" w:cs="Times New Roman"/>
          <w:sz w:val="24"/>
          <w:szCs w:val="24"/>
        </w:rPr>
        <w:t xml:space="preserve"> за вработување з</w:t>
      </w:r>
      <w:r w:rsidRPr="00C9671E">
        <w:rPr>
          <w:rFonts w:ascii="Times New Roman" w:hAnsi="Times New Roman" w:cs="Times New Roman"/>
          <w:sz w:val="24"/>
          <w:szCs w:val="24"/>
        </w:rPr>
        <w:t>а млади, долгорочно невработени</w:t>
      </w:r>
      <w:r>
        <w:rPr>
          <w:rFonts w:ascii="Times New Roman" w:hAnsi="Times New Roman" w:cs="Times New Roman"/>
          <w:sz w:val="24"/>
          <w:szCs w:val="24"/>
        </w:rPr>
        <w:t xml:space="preserve"> и </w:t>
      </w:r>
      <w:r w:rsidRPr="00C9671E">
        <w:rPr>
          <w:rFonts w:ascii="Times New Roman" w:hAnsi="Times New Roman" w:cs="Times New Roman"/>
          <w:sz w:val="24"/>
          <w:szCs w:val="24"/>
        </w:rPr>
        <w:t>лица со ниска квалификаци</w:t>
      </w:r>
      <w:r>
        <w:rPr>
          <w:rFonts w:ascii="Times New Roman" w:hAnsi="Times New Roman" w:cs="Times New Roman"/>
          <w:sz w:val="24"/>
          <w:szCs w:val="24"/>
        </w:rPr>
        <w:t>и</w:t>
      </w:r>
      <w:r w:rsidRPr="00C9671E">
        <w:rPr>
          <w:rFonts w:ascii="Times New Roman" w:hAnsi="Times New Roman" w:cs="Times New Roman"/>
          <w:sz w:val="24"/>
          <w:szCs w:val="24"/>
        </w:rPr>
        <w:t xml:space="preserve">, вклучително и жени, лица со попреченост и Роми, и да обезбеди соодветна </w:t>
      </w:r>
      <w:r>
        <w:rPr>
          <w:rFonts w:ascii="Times New Roman" w:hAnsi="Times New Roman" w:cs="Times New Roman"/>
          <w:sz w:val="24"/>
          <w:szCs w:val="24"/>
        </w:rPr>
        <w:t>евалуација</w:t>
      </w:r>
      <w:r w:rsidRPr="00C9671E">
        <w:rPr>
          <w:rFonts w:ascii="Times New Roman" w:hAnsi="Times New Roman" w:cs="Times New Roman"/>
          <w:sz w:val="24"/>
          <w:szCs w:val="24"/>
        </w:rPr>
        <w:t xml:space="preserve"> на мерки</w:t>
      </w:r>
      <w:r>
        <w:rPr>
          <w:rFonts w:ascii="Times New Roman" w:hAnsi="Times New Roman" w:cs="Times New Roman"/>
          <w:sz w:val="24"/>
          <w:szCs w:val="24"/>
        </w:rPr>
        <w:t>те</w:t>
      </w:r>
      <w:r w:rsidRPr="00C9671E">
        <w:rPr>
          <w:rFonts w:ascii="Times New Roman" w:hAnsi="Times New Roman" w:cs="Times New Roman"/>
          <w:sz w:val="24"/>
          <w:szCs w:val="24"/>
        </w:rPr>
        <w:t>;</w:t>
      </w:r>
    </w:p>
    <w:p w14:paraId="5FFFCB19" w14:textId="4E25C8BA" w:rsidR="003D4454" w:rsidRPr="00C9671E" w:rsidRDefault="003D4454" w:rsidP="00705B41">
      <w:pPr>
        <w:numPr>
          <w:ilvl w:val="0"/>
          <w:numId w:val="49"/>
        </w:numPr>
        <w:pBdr>
          <w:top w:val="single" w:sz="4" w:space="1" w:color="auto"/>
          <w:left w:val="single" w:sz="4" w:space="1"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ги подобрува капацитетите на Државниот инспекторат за труд за решавање на прашањата поврзани со безбедноста и здравјето при работа; да развие систем за следење повреди</w:t>
      </w:r>
      <w:r>
        <w:rPr>
          <w:rFonts w:ascii="Times New Roman" w:hAnsi="Times New Roman" w:cs="Times New Roman"/>
          <w:sz w:val="24"/>
          <w:szCs w:val="24"/>
        </w:rPr>
        <w:t>те</w:t>
      </w:r>
      <w:r w:rsidRPr="00C9671E">
        <w:rPr>
          <w:rFonts w:ascii="Times New Roman" w:hAnsi="Times New Roman" w:cs="Times New Roman"/>
          <w:sz w:val="24"/>
          <w:szCs w:val="24"/>
        </w:rPr>
        <w:t xml:space="preserve"> и смртни</w:t>
      </w:r>
      <w:r>
        <w:rPr>
          <w:rFonts w:ascii="Times New Roman" w:hAnsi="Times New Roman" w:cs="Times New Roman"/>
          <w:sz w:val="24"/>
          <w:szCs w:val="24"/>
        </w:rPr>
        <w:t>те</w:t>
      </w:r>
      <w:r w:rsidRPr="00C9671E">
        <w:rPr>
          <w:rFonts w:ascii="Times New Roman" w:hAnsi="Times New Roman" w:cs="Times New Roman"/>
          <w:sz w:val="24"/>
          <w:szCs w:val="24"/>
        </w:rPr>
        <w:t xml:space="preserve"> случаи при работа; и да го зајакне бипартитниот социјален дијалог меѓу работодав</w:t>
      </w:r>
      <w:r>
        <w:rPr>
          <w:rFonts w:ascii="Times New Roman" w:hAnsi="Times New Roman" w:cs="Times New Roman"/>
          <w:sz w:val="24"/>
          <w:szCs w:val="24"/>
        </w:rPr>
        <w:t>ач</w:t>
      </w:r>
      <w:r w:rsidRPr="00C9671E">
        <w:rPr>
          <w:rFonts w:ascii="Times New Roman" w:hAnsi="Times New Roman" w:cs="Times New Roman"/>
          <w:sz w:val="24"/>
          <w:szCs w:val="24"/>
        </w:rPr>
        <w:t>ите и работниците;</w:t>
      </w:r>
    </w:p>
    <w:p w14:paraId="731F6ED9" w14:textId="16694E0E" w:rsidR="003D4454" w:rsidRPr="00C9671E" w:rsidRDefault="003D4454" w:rsidP="00705B41">
      <w:pPr>
        <w:numPr>
          <w:ilvl w:val="0"/>
          <w:numId w:val="49"/>
        </w:numPr>
        <w:pBdr>
          <w:top w:val="single" w:sz="4" w:space="1" w:color="auto"/>
          <w:left w:val="single" w:sz="4" w:space="1" w:color="auto"/>
          <w:bottom w:val="single" w:sz="4" w:space="1" w:color="auto"/>
          <w:right w:val="single" w:sz="4" w:space="1" w:color="auto"/>
        </w:pBdr>
        <w:shd w:val="clear" w:color="auto" w:fill="D9D9D9"/>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воспостави систем за следење и оценување на социјалните услуги и да ја продолжи реформата на социјалната заштита</w:t>
      </w:r>
      <w:r>
        <w:rPr>
          <w:rFonts w:ascii="Times New Roman" w:hAnsi="Times New Roman" w:cs="Times New Roman"/>
          <w:sz w:val="24"/>
          <w:szCs w:val="24"/>
        </w:rPr>
        <w:t xml:space="preserve"> преку посилно поврзување со </w:t>
      </w:r>
      <w:r w:rsidRPr="00C9671E">
        <w:rPr>
          <w:rFonts w:ascii="Times New Roman" w:hAnsi="Times New Roman" w:cs="Times New Roman"/>
          <w:sz w:val="24"/>
          <w:szCs w:val="24"/>
        </w:rPr>
        <w:t xml:space="preserve">активирање </w:t>
      </w:r>
      <w:r>
        <w:rPr>
          <w:rFonts w:ascii="Times New Roman" w:hAnsi="Times New Roman" w:cs="Times New Roman"/>
          <w:sz w:val="24"/>
          <w:szCs w:val="24"/>
        </w:rPr>
        <w:t>на</w:t>
      </w:r>
      <w:r w:rsidRPr="00C9671E">
        <w:rPr>
          <w:rFonts w:ascii="Times New Roman" w:hAnsi="Times New Roman" w:cs="Times New Roman"/>
          <w:sz w:val="24"/>
          <w:szCs w:val="24"/>
        </w:rPr>
        <w:t xml:space="preserve"> вработувањ</w:t>
      </w:r>
      <w:r>
        <w:rPr>
          <w:rFonts w:ascii="Times New Roman" w:hAnsi="Times New Roman" w:cs="Times New Roman"/>
          <w:sz w:val="24"/>
          <w:szCs w:val="24"/>
        </w:rPr>
        <w:t>а</w:t>
      </w:r>
      <w:r w:rsidRPr="00C9671E">
        <w:rPr>
          <w:rFonts w:ascii="Times New Roman" w:hAnsi="Times New Roman" w:cs="Times New Roman"/>
          <w:sz w:val="24"/>
          <w:szCs w:val="24"/>
        </w:rPr>
        <w:t>.</w:t>
      </w:r>
    </w:p>
    <w:p w14:paraId="17EC62D6" w14:textId="57A33930" w:rsidR="003D4454" w:rsidRPr="00C9671E" w:rsidRDefault="003D4454" w:rsidP="006E4EB0">
      <w:pPr>
        <w:autoSpaceDE w:val="0"/>
        <w:autoSpaceDN w:val="0"/>
        <w:adjustRightInd w:val="0"/>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szCs w:val="24"/>
        </w:rPr>
        <w:t xml:space="preserve">Во однос на </w:t>
      </w:r>
      <w:r w:rsidRPr="00C9671E">
        <w:rPr>
          <w:rFonts w:ascii="Times New Roman" w:hAnsi="Times New Roman" w:cs="Times New Roman"/>
          <w:b/>
          <w:color w:val="000000"/>
          <w:sz w:val="24"/>
          <w:szCs w:val="24"/>
        </w:rPr>
        <w:t>трудовото право</w:t>
      </w:r>
      <w:r w:rsidRPr="00C9671E">
        <w:rPr>
          <w:rFonts w:ascii="Times New Roman" w:hAnsi="Times New Roman" w:cs="Times New Roman"/>
          <w:color w:val="000000"/>
          <w:sz w:val="24"/>
          <w:szCs w:val="24"/>
        </w:rPr>
        <w:t xml:space="preserve">, изменетото законодавството утврди старосна граница за пензионирање од 64 години и 15 години стаж како кумулативни услови за престанок на работниот однос врз основа на возраста на работникот. Законот за минимална плата и </w:t>
      </w:r>
      <w:r w:rsidRPr="00C9671E">
        <w:rPr>
          <w:rFonts w:ascii="Times New Roman" w:hAnsi="Times New Roman" w:cs="Times New Roman"/>
          <w:color w:val="000000"/>
          <w:sz w:val="24"/>
          <w:szCs w:val="24"/>
        </w:rPr>
        <w:lastRenderedPageBreak/>
        <w:t>Законот за работни односи беа изменети со измени на критериумите и методологијата за исплата на минималната плата, што резултираше со зголемување на минималната плата од 1 април 2022 година, а недела се воспостави како ден за неделен одмор од 1 јануари 2022 година. Во тек е изработка на новиот Закон за работни односи</w:t>
      </w:r>
      <w:r>
        <w:rPr>
          <w:rFonts w:ascii="Times New Roman" w:hAnsi="Times New Roman" w:cs="Times New Roman"/>
          <w:color w:val="000000"/>
          <w:sz w:val="24"/>
          <w:szCs w:val="24"/>
        </w:rPr>
        <w:t xml:space="preserve">, вклучително и </w:t>
      </w:r>
      <w:r w:rsidRPr="00C9671E">
        <w:rPr>
          <w:rFonts w:ascii="Times New Roman" w:hAnsi="Times New Roman" w:cs="Times New Roman"/>
          <w:color w:val="000000"/>
          <w:sz w:val="24"/>
          <w:szCs w:val="24"/>
        </w:rPr>
        <w:t>со дискусија за неусогласени</w:t>
      </w:r>
      <w:r>
        <w:rPr>
          <w:rFonts w:ascii="Times New Roman" w:hAnsi="Times New Roman" w:cs="Times New Roman"/>
          <w:color w:val="000000"/>
          <w:sz w:val="24"/>
          <w:szCs w:val="24"/>
        </w:rPr>
        <w:t>те</w:t>
      </w:r>
      <w:r w:rsidRPr="00C9671E">
        <w:rPr>
          <w:rFonts w:ascii="Times New Roman" w:hAnsi="Times New Roman" w:cs="Times New Roman"/>
          <w:color w:val="000000"/>
          <w:sz w:val="24"/>
          <w:szCs w:val="24"/>
        </w:rPr>
        <w:t xml:space="preserve"> и отворени прашања. Се подобрија капацитетите за спроведување на трудовите политики и законодавството. Сепак, тие остануваат недоволни, </w:t>
      </w:r>
      <w:r>
        <w:rPr>
          <w:rFonts w:ascii="Times New Roman" w:hAnsi="Times New Roman" w:cs="Times New Roman"/>
          <w:color w:val="000000"/>
          <w:sz w:val="24"/>
          <w:szCs w:val="24"/>
        </w:rPr>
        <w:t xml:space="preserve">исто </w:t>
      </w:r>
      <w:r w:rsidRPr="00C9671E">
        <w:rPr>
          <w:rFonts w:ascii="Times New Roman" w:hAnsi="Times New Roman" w:cs="Times New Roman"/>
          <w:color w:val="000000"/>
          <w:sz w:val="24"/>
          <w:szCs w:val="24"/>
        </w:rPr>
        <w:t xml:space="preserve">како и капацитетите на Државниот инспекторат за труд (ДИТ), чии вкупни перформанси остануваат </w:t>
      </w:r>
      <w:r>
        <w:rPr>
          <w:rFonts w:ascii="Times New Roman" w:hAnsi="Times New Roman" w:cs="Times New Roman"/>
          <w:color w:val="000000"/>
          <w:sz w:val="24"/>
          <w:szCs w:val="24"/>
        </w:rPr>
        <w:t xml:space="preserve">на </w:t>
      </w:r>
      <w:r w:rsidRPr="00C9671E">
        <w:rPr>
          <w:rFonts w:ascii="Times New Roman" w:hAnsi="Times New Roman" w:cs="Times New Roman"/>
          <w:color w:val="000000"/>
          <w:sz w:val="24"/>
          <w:szCs w:val="24"/>
        </w:rPr>
        <w:t>ниск</w:t>
      </w:r>
      <w:r>
        <w:rPr>
          <w:rFonts w:ascii="Times New Roman" w:hAnsi="Times New Roman" w:cs="Times New Roman"/>
          <w:color w:val="000000"/>
          <w:sz w:val="24"/>
          <w:szCs w:val="24"/>
        </w:rPr>
        <w:t>о ниво</w:t>
      </w:r>
      <w:r w:rsidRPr="00C9671E">
        <w:rPr>
          <w:rFonts w:ascii="Times New Roman" w:hAnsi="Times New Roman" w:cs="Times New Roman"/>
          <w:color w:val="000000"/>
          <w:sz w:val="24"/>
          <w:szCs w:val="24"/>
        </w:rPr>
        <w:t xml:space="preserve">. </w:t>
      </w:r>
      <w:r w:rsidRPr="00C9671E">
        <w:rPr>
          <w:rFonts w:ascii="Times New Roman" w:hAnsi="Times New Roman" w:cs="Times New Roman"/>
          <w:sz w:val="24"/>
          <w:szCs w:val="24"/>
        </w:rPr>
        <w:t xml:space="preserve">ДИТ ги подобри своите капацитети со дополнително вработување дваесет и пет инспектори и спроведување серија обуки: потребно е дополнително подобрување во областа на здравје и безбедност при работа. ДИТ изврши 9.530 контроли (6.308 </w:t>
      </w:r>
      <w:r>
        <w:rPr>
          <w:rFonts w:ascii="Times New Roman" w:hAnsi="Times New Roman" w:cs="Times New Roman"/>
          <w:sz w:val="24"/>
          <w:szCs w:val="24"/>
        </w:rPr>
        <w:t>во</w:t>
      </w:r>
      <w:r w:rsidRPr="00C9671E">
        <w:rPr>
          <w:rFonts w:ascii="Times New Roman" w:hAnsi="Times New Roman" w:cs="Times New Roman"/>
          <w:sz w:val="24"/>
          <w:szCs w:val="24"/>
        </w:rPr>
        <w:t xml:space="preserve"> областа на работните односи и 3.222 </w:t>
      </w:r>
      <w:r>
        <w:rPr>
          <w:rFonts w:ascii="Times New Roman" w:hAnsi="Times New Roman" w:cs="Times New Roman"/>
          <w:sz w:val="24"/>
          <w:szCs w:val="24"/>
        </w:rPr>
        <w:t>во</w:t>
      </w:r>
      <w:r w:rsidRPr="00C9671E">
        <w:rPr>
          <w:rFonts w:ascii="Times New Roman" w:hAnsi="Times New Roman" w:cs="Times New Roman"/>
          <w:sz w:val="24"/>
          <w:szCs w:val="24"/>
        </w:rPr>
        <w:t xml:space="preserve"> областа на </w:t>
      </w:r>
      <w:r>
        <w:rPr>
          <w:rFonts w:ascii="Times New Roman" w:hAnsi="Times New Roman" w:cs="Times New Roman"/>
          <w:sz w:val="24"/>
          <w:szCs w:val="24"/>
        </w:rPr>
        <w:t>БЗ</w:t>
      </w:r>
      <w:r w:rsidRPr="00C9671E">
        <w:rPr>
          <w:rFonts w:ascii="Times New Roman" w:hAnsi="Times New Roman" w:cs="Times New Roman"/>
          <w:sz w:val="24"/>
          <w:szCs w:val="24"/>
        </w:rPr>
        <w:t>Р). Имаше 135 тешки повреди и 30 смртни случаи.</w:t>
      </w:r>
    </w:p>
    <w:p w14:paraId="629863B6" w14:textId="3482E261" w:rsidR="003D4454" w:rsidRPr="00C9671E" w:rsidRDefault="003D4454" w:rsidP="006E4EB0">
      <w:pPr>
        <w:autoSpaceDE w:val="0"/>
        <w:autoSpaceDN w:val="0"/>
        <w:adjustRightInd w:val="0"/>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szCs w:val="24"/>
        </w:rPr>
        <w:t xml:space="preserve">Во однос на </w:t>
      </w:r>
      <w:r w:rsidRPr="00C9671E">
        <w:rPr>
          <w:rFonts w:ascii="Times New Roman" w:hAnsi="Times New Roman" w:cs="Times New Roman"/>
          <w:b/>
          <w:color w:val="000000"/>
          <w:sz w:val="24"/>
          <w:szCs w:val="24"/>
        </w:rPr>
        <w:t>здравјето и безбедност при работа</w:t>
      </w:r>
      <w:r w:rsidRPr="00C9671E">
        <w:rPr>
          <w:rFonts w:ascii="Times New Roman" w:hAnsi="Times New Roman" w:cs="Times New Roman"/>
          <w:color w:val="000000"/>
          <w:sz w:val="24"/>
          <w:szCs w:val="24"/>
        </w:rPr>
        <w:t xml:space="preserve">, Владата донесе Стратегија за безбедност и здравје при работа 2021-2025 година и акциски план за периодот </w:t>
      </w:r>
      <w:r>
        <w:rPr>
          <w:rFonts w:ascii="Times New Roman" w:hAnsi="Times New Roman" w:cs="Times New Roman"/>
          <w:color w:val="000000"/>
          <w:sz w:val="24"/>
          <w:szCs w:val="24"/>
        </w:rPr>
        <w:t xml:space="preserve">од </w:t>
      </w:r>
      <w:r w:rsidRPr="00C9671E">
        <w:rPr>
          <w:rFonts w:ascii="Times New Roman" w:hAnsi="Times New Roman" w:cs="Times New Roman"/>
          <w:color w:val="000000"/>
          <w:sz w:val="24"/>
          <w:szCs w:val="24"/>
        </w:rPr>
        <w:t xml:space="preserve">2021-2023 година во декември 2021 година. </w:t>
      </w:r>
      <w:r w:rsidRPr="00C9671E">
        <w:rPr>
          <w:rFonts w:ascii="Times New Roman" w:hAnsi="Times New Roman" w:cs="Times New Roman"/>
          <w:sz w:val="24"/>
          <w:szCs w:val="24"/>
        </w:rPr>
        <w:t>Подготовката на нов закон продолжи</w:t>
      </w:r>
      <w:r>
        <w:rPr>
          <w:rFonts w:ascii="Times New Roman" w:hAnsi="Times New Roman" w:cs="Times New Roman"/>
          <w:sz w:val="24"/>
          <w:szCs w:val="24"/>
        </w:rPr>
        <w:t>,</w:t>
      </w:r>
      <w:r w:rsidRPr="00C9671E">
        <w:rPr>
          <w:rFonts w:ascii="Times New Roman" w:hAnsi="Times New Roman" w:cs="Times New Roman"/>
          <w:sz w:val="24"/>
          <w:szCs w:val="24"/>
        </w:rPr>
        <w:t xml:space="preserve"> земајќи го предвид влијанието на пандемијата на КОВИД-19. Главниот предизвик сѐ уште е несоодветната примена на постојните одредби содржани во Законот за работни односи и Законот за безбедност и здравје при работа.</w:t>
      </w:r>
      <w:r w:rsidRPr="00C967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C9671E">
        <w:rPr>
          <w:rFonts w:ascii="Times New Roman" w:hAnsi="Times New Roman" w:cs="Times New Roman"/>
          <w:color w:val="000000"/>
          <w:sz w:val="24"/>
          <w:szCs w:val="24"/>
        </w:rPr>
        <w:t>аботодав</w:t>
      </w:r>
      <w:r>
        <w:rPr>
          <w:rFonts w:ascii="Times New Roman" w:hAnsi="Times New Roman" w:cs="Times New Roman"/>
          <w:color w:val="000000"/>
          <w:sz w:val="24"/>
          <w:szCs w:val="24"/>
        </w:rPr>
        <w:t>ачите</w:t>
      </w:r>
      <w:r w:rsidRPr="00C9671E">
        <w:rPr>
          <w:rFonts w:ascii="Times New Roman" w:hAnsi="Times New Roman" w:cs="Times New Roman"/>
          <w:color w:val="000000"/>
          <w:sz w:val="24"/>
          <w:szCs w:val="24"/>
        </w:rPr>
        <w:t xml:space="preserve"> и вработените </w:t>
      </w:r>
      <w:r>
        <w:rPr>
          <w:rFonts w:ascii="Times New Roman" w:hAnsi="Times New Roman" w:cs="Times New Roman"/>
          <w:color w:val="000000"/>
          <w:sz w:val="24"/>
          <w:szCs w:val="24"/>
        </w:rPr>
        <w:t>ограничено се запознаени во однос на</w:t>
      </w:r>
      <w:r w:rsidRPr="00C9671E">
        <w:rPr>
          <w:rFonts w:ascii="Times New Roman" w:hAnsi="Times New Roman" w:cs="Times New Roman"/>
          <w:color w:val="000000"/>
          <w:sz w:val="24"/>
          <w:szCs w:val="24"/>
        </w:rPr>
        <w:t xml:space="preserve"> нивните права и обврски. Државниот инспекторат за труд се соочи со зголемен број барања поради пандемијата на КОВИД-19, вклучително и инспекции поврзани со условите за работа.</w:t>
      </w:r>
    </w:p>
    <w:p w14:paraId="0B363142" w14:textId="4F9B5BC1"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КОВИД-19 останува </w:t>
      </w:r>
      <w:r>
        <w:rPr>
          <w:rFonts w:ascii="Times New Roman" w:hAnsi="Times New Roman" w:cs="Times New Roman"/>
          <w:sz w:val="24"/>
          <w:szCs w:val="24"/>
        </w:rPr>
        <w:t xml:space="preserve">да биде </w:t>
      </w:r>
      <w:r w:rsidRPr="00C9671E">
        <w:rPr>
          <w:rFonts w:ascii="Times New Roman" w:hAnsi="Times New Roman" w:cs="Times New Roman"/>
          <w:sz w:val="24"/>
          <w:szCs w:val="24"/>
        </w:rPr>
        <w:t>признаен како професионално заболување само за работниците во здравствениот сектор</w:t>
      </w:r>
      <w:r>
        <w:rPr>
          <w:rFonts w:ascii="Times New Roman" w:hAnsi="Times New Roman" w:cs="Times New Roman"/>
          <w:sz w:val="24"/>
          <w:szCs w:val="24"/>
        </w:rPr>
        <w:t>,</w:t>
      </w:r>
      <w:r w:rsidRPr="00C9671E">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C9671E">
        <w:rPr>
          <w:rFonts w:ascii="Times New Roman" w:hAnsi="Times New Roman" w:cs="Times New Roman"/>
          <w:sz w:val="24"/>
          <w:szCs w:val="24"/>
        </w:rPr>
        <w:t>исплата на целосен надоместок на плата доколку се зараз</w:t>
      </w:r>
      <w:r>
        <w:rPr>
          <w:rFonts w:ascii="Times New Roman" w:hAnsi="Times New Roman" w:cs="Times New Roman"/>
          <w:sz w:val="24"/>
          <w:szCs w:val="24"/>
        </w:rPr>
        <w:t>ат</w:t>
      </w:r>
      <w:r w:rsidRPr="00C9671E">
        <w:rPr>
          <w:rFonts w:ascii="Times New Roman" w:hAnsi="Times New Roman" w:cs="Times New Roman"/>
          <w:sz w:val="24"/>
          <w:szCs w:val="24"/>
        </w:rPr>
        <w:t xml:space="preserve"> со КОВИД-19 на работното место. Работниците од другите сектори не се вклучени во овие одредби.</w:t>
      </w:r>
    </w:p>
    <w:p w14:paraId="390C7948" w14:textId="08100510" w:rsidR="003D4454" w:rsidRPr="00C9671E" w:rsidRDefault="003D4454" w:rsidP="006E4EB0">
      <w:pPr>
        <w:autoSpaceDE w:val="0"/>
        <w:autoSpaceDN w:val="0"/>
        <w:adjustRightInd w:val="0"/>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szCs w:val="24"/>
        </w:rPr>
        <w:t xml:space="preserve">Функционирањето на трипартитниот </w:t>
      </w:r>
      <w:r w:rsidRPr="00C9671E">
        <w:rPr>
          <w:rFonts w:ascii="Times New Roman" w:hAnsi="Times New Roman" w:cs="Times New Roman"/>
          <w:b/>
          <w:color w:val="000000"/>
          <w:sz w:val="24"/>
          <w:szCs w:val="24"/>
        </w:rPr>
        <w:t>социјален дијалог</w:t>
      </w:r>
      <w:r w:rsidRPr="00C9671E">
        <w:rPr>
          <w:rFonts w:ascii="Times New Roman" w:hAnsi="Times New Roman" w:cs="Times New Roman"/>
          <w:color w:val="000000"/>
          <w:sz w:val="24"/>
          <w:szCs w:val="24"/>
        </w:rPr>
        <w:t xml:space="preserve"> на национално и локално ниво се усовршува, додека на бипартитно </w:t>
      </w:r>
      <w:r>
        <w:rPr>
          <w:rFonts w:ascii="Times New Roman" w:hAnsi="Times New Roman" w:cs="Times New Roman"/>
          <w:color w:val="000000"/>
          <w:sz w:val="24"/>
          <w:szCs w:val="24"/>
        </w:rPr>
        <w:t xml:space="preserve">ниво </w:t>
      </w:r>
      <w:r w:rsidRPr="00C9671E">
        <w:rPr>
          <w:rFonts w:ascii="Times New Roman" w:hAnsi="Times New Roman" w:cs="Times New Roman"/>
          <w:color w:val="000000"/>
          <w:sz w:val="24"/>
          <w:szCs w:val="24"/>
        </w:rPr>
        <w:t xml:space="preserve">сè уште заостанува. </w:t>
      </w:r>
      <w:r>
        <w:rPr>
          <w:rFonts w:ascii="Times New Roman" w:hAnsi="Times New Roman" w:cs="Times New Roman"/>
          <w:color w:val="000000"/>
          <w:sz w:val="24"/>
          <w:szCs w:val="24"/>
        </w:rPr>
        <w:t>Донесувањето</w:t>
      </w:r>
      <w:r w:rsidRPr="00C9671E">
        <w:rPr>
          <w:rFonts w:ascii="Times New Roman" w:hAnsi="Times New Roman" w:cs="Times New Roman"/>
          <w:color w:val="000000"/>
          <w:sz w:val="24"/>
          <w:szCs w:val="24"/>
        </w:rPr>
        <w:t xml:space="preserve"> и спроведувањето на колективните договори во приватниот сектор е слабо. Консултациите со социјалните партнери се </w:t>
      </w:r>
      <w:r>
        <w:rPr>
          <w:rFonts w:ascii="Times New Roman" w:hAnsi="Times New Roman" w:cs="Times New Roman"/>
          <w:color w:val="000000"/>
          <w:sz w:val="24"/>
          <w:szCs w:val="24"/>
        </w:rPr>
        <w:t>реализираа во однос на с</w:t>
      </w:r>
      <w:r w:rsidRPr="00C9671E">
        <w:rPr>
          <w:rFonts w:ascii="Times New Roman" w:hAnsi="Times New Roman" w:cs="Times New Roman"/>
          <w:color w:val="000000"/>
          <w:sz w:val="24"/>
          <w:szCs w:val="24"/>
        </w:rPr>
        <w:t xml:space="preserve">ите промени во </w:t>
      </w:r>
      <w:r>
        <w:rPr>
          <w:rFonts w:ascii="Times New Roman" w:hAnsi="Times New Roman" w:cs="Times New Roman"/>
          <w:color w:val="000000"/>
          <w:sz w:val="24"/>
          <w:szCs w:val="24"/>
        </w:rPr>
        <w:t xml:space="preserve">сферата на </w:t>
      </w:r>
      <w:r w:rsidRPr="00C9671E">
        <w:rPr>
          <w:rFonts w:ascii="Times New Roman" w:hAnsi="Times New Roman" w:cs="Times New Roman"/>
          <w:color w:val="000000"/>
          <w:sz w:val="24"/>
          <w:szCs w:val="24"/>
        </w:rPr>
        <w:t xml:space="preserve">работните односи, </w:t>
      </w:r>
      <w:r w:rsidRPr="00C9671E">
        <w:rPr>
          <w:rFonts w:ascii="Times New Roman" w:hAnsi="Times New Roman" w:cs="Times New Roman"/>
          <w:sz w:val="24"/>
          <w:szCs w:val="24"/>
        </w:rPr>
        <w:t xml:space="preserve">вклучително </w:t>
      </w:r>
      <w:r w:rsidRPr="00C9671E">
        <w:rPr>
          <w:rFonts w:ascii="Times New Roman" w:hAnsi="Times New Roman" w:cs="Times New Roman"/>
          <w:color w:val="000000"/>
          <w:sz w:val="24"/>
          <w:szCs w:val="24"/>
        </w:rPr>
        <w:t xml:space="preserve">и подготовките на новиот </w:t>
      </w:r>
      <w:r>
        <w:rPr>
          <w:rFonts w:ascii="Times New Roman" w:hAnsi="Times New Roman" w:cs="Times New Roman"/>
          <w:color w:val="000000"/>
          <w:sz w:val="24"/>
          <w:szCs w:val="24"/>
        </w:rPr>
        <w:t>закон</w:t>
      </w:r>
      <w:r w:rsidRPr="00C9671E">
        <w:rPr>
          <w:rFonts w:ascii="Times New Roman" w:hAnsi="Times New Roman" w:cs="Times New Roman"/>
          <w:color w:val="000000"/>
          <w:sz w:val="24"/>
          <w:szCs w:val="24"/>
        </w:rPr>
        <w:t xml:space="preserve"> за работни односи. Довербата на работниците во капацитетот на синдикатите да функционираат независно не е подобрена. Законот за мирно решавање на работните спорови сѐ уште не се спроведува. </w:t>
      </w:r>
      <w:r>
        <w:rPr>
          <w:rFonts w:ascii="Times New Roman" w:hAnsi="Times New Roman" w:cs="Times New Roman"/>
          <w:color w:val="000000"/>
          <w:sz w:val="24"/>
          <w:szCs w:val="24"/>
        </w:rPr>
        <w:t>К</w:t>
      </w:r>
      <w:r w:rsidRPr="00C9671E">
        <w:rPr>
          <w:rFonts w:ascii="Times New Roman" w:hAnsi="Times New Roman" w:cs="Times New Roman"/>
          <w:color w:val="000000"/>
          <w:sz w:val="24"/>
          <w:szCs w:val="24"/>
        </w:rPr>
        <w:t>апацитетите на социјалните партнери</w:t>
      </w:r>
      <w:r w:rsidRPr="00FA68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 понатаму </w:t>
      </w:r>
      <w:r w:rsidRPr="00C9671E">
        <w:rPr>
          <w:rFonts w:ascii="Times New Roman" w:hAnsi="Times New Roman" w:cs="Times New Roman"/>
          <w:color w:val="000000"/>
          <w:sz w:val="24"/>
          <w:szCs w:val="24"/>
        </w:rPr>
        <w:t>треба да се зајакнуваат. одредбите во Законот за основно образование и во Законот за средно образование, со кои се дозволува замена на работниците што штрајкуваат</w:t>
      </w:r>
      <w:r w:rsidRPr="00FA6835">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w:t>
      </w:r>
      <w:r w:rsidRPr="00C9671E">
        <w:rPr>
          <w:rFonts w:ascii="Times New Roman" w:hAnsi="Times New Roman" w:cs="Times New Roman"/>
          <w:color w:val="000000"/>
          <w:sz w:val="24"/>
          <w:szCs w:val="24"/>
        </w:rPr>
        <w:t xml:space="preserve">стануваат непроменети. </w:t>
      </w:r>
      <w:r>
        <w:rPr>
          <w:rFonts w:ascii="Times New Roman" w:hAnsi="Times New Roman" w:cs="Times New Roman"/>
          <w:sz w:val="24"/>
          <w:szCs w:val="24"/>
        </w:rPr>
        <w:t xml:space="preserve">Постапките </w:t>
      </w:r>
      <w:r w:rsidRPr="00C9671E">
        <w:rPr>
          <w:rFonts w:ascii="Times New Roman" w:hAnsi="Times New Roman" w:cs="Times New Roman"/>
          <w:sz w:val="24"/>
          <w:szCs w:val="24"/>
        </w:rPr>
        <w:t>за регистрација на синдикатите и здруженијата на работодав</w:t>
      </w:r>
      <w:r>
        <w:rPr>
          <w:rFonts w:ascii="Times New Roman" w:hAnsi="Times New Roman" w:cs="Times New Roman"/>
          <w:sz w:val="24"/>
          <w:szCs w:val="24"/>
        </w:rPr>
        <w:t>ачи</w:t>
      </w:r>
      <w:r w:rsidRPr="00C9671E">
        <w:rPr>
          <w:rFonts w:ascii="Times New Roman" w:hAnsi="Times New Roman" w:cs="Times New Roman"/>
          <w:sz w:val="24"/>
          <w:szCs w:val="24"/>
        </w:rPr>
        <w:t xml:space="preserve"> во регистрите остануваат во Министерството за труд и социјална политика. </w:t>
      </w:r>
      <w:r w:rsidRPr="00C9671E">
        <w:rPr>
          <w:rFonts w:ascii="Times New Roman" w:hAnsi="Times New Roman" w:cs="Times New Roman"/>
          <w:color w:val="000000"/>
          <w:sz w:val="24"/>
          <w:szCs w:val="24"/>
        </w:rPr>
        <w:t xml:space="preserve">Бипартитниот социјален дијалог во јавниот сектор резултираше со склучување и </w:t>
      </w:r>
      <w:r>
        <w:rPr>
          <w:rFonts w:ascii="Times New Roman" w:hAnsi="Times New Roman" w:cs="Times New Roman"/>
          <w:color w:val="000000"/>
          <w:sz w:val="24"/>
          <w:szCs w:val="24"/>
        </w:rPr>
        <w:t>обновено почитување</w:t>
      </w:r>
      <w:r w:rsidRPr="00C9671E">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w:t>
      </w:r>
      <w:r w:rsidRPr="00C9671E">
        <w:rPr>
          <w:rFonts w:ascii="Times New Roman" w:hAnsi="Times New Roman" w:cs="Times New Roman"/>
          <w:color w:val="000000"/>
          <w:sz w:val="24"/>
          <w:szCs w:val="24"/>
        </w:rPr>
        <w:t xml:space="preserve"> колективните договори, што не е случај во приватниот сектор.</w:t>
      </w:r>
    </w:p>
    <w:p w14:paraId="2E95A3DC" w14:textId="64F11BCB"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политиката за вработување</w:t>
      </w:r>
      <w:r w:rsidRPr="00C9671E">
        <w:rPr>
          <w:rFonts w:ascii="Times New Roman" w:hAnsi="Times New Roman" w:cs="Times New Roman"/>
          <w:sz w:val="24"/>
          <w:szCs w:val="24"/>
        </w:rPr>
        <w:t xml:space="preserve">, во текот на 2021 година Владата донесе дополнителни пакети на привремени социоекономски мерки за поддршка на економијата и вработувањето, со цел да се справат со ефектите од продолжувањето на пандемијата на КОВИД-19. Моделот за прогнозирање на пазарот на труд беше проширен за да опфати 20 сектори, а професионалната перспектива 74 професии. Националната стратегија за вработување 2021-2027 година беше донесена заедно со Акцискиот план за вработување 2021-2023 година. Продолжи спроведувањето на мерките за непријавена работа во рамките на Стратегијата за формализација на неформалната економија 2018-2022 година. Владата донесе Акциски план за 2021-2022 </w:t>
      </w:r>
      <w:r w:rsidRPr="00C9671E">
        <w:rPr>
          <w:rFonts w:ascii="Times New Roman" w:hAnsi="Times New Roman" w:cs="Times New Roman"/>
          <w:sz w:val="24"/>
          <w:szCs w:val="24"/>
        </w:rPr>
        <w:lastRenderedPageBreak/>
        <w:t xml:space="preserve">година. Капацитетот на Агенцијата за вработување треба да се зајакне, особено </w:t>
      </w:r>
      <w:r>
        <w:rPr>
          <w:rFonts w:ascii="Times New Roman" w:hAnsi="Times New Roman" w:cs="Times New Roman"/>
          <w:sz w:val="24"/>
          <w:szCs w:val="24"/>
        </w:rPr>
        <w:t>поради</w:t>
      </w:r>
      <w:r w:rsidRPr="00C9671E">
        <w:rPr>
          <w:rFonts w:ascii="Times New Roman" w:hAnsi="Times New Roman" w:cs="Times New Roman"/>
          <w:sz w:val="24"/>
          <w:szCs w:val="24"/>
        </w:rPr>
        <w:t xml:space="preserve"> подобро испорачување на активните мерки </w:t>
      </w:r>
      <w:r>
        <w:rPr>
          <w:rFonts w:ascii="Times New Roman" w:hAnsi="Times New Roman" w:cs="Times New Roman"/>
          <w:sz w:val="24"/>
          <w:szCs w:val="24"/>
        </w:rPr>
        <w:t>за вработување</w:t>
      </w:r>
      <w:r w:rsidRPr="00C9671E">
        <w:rPr>
          <w:rFonts w:ascii="Times New Roman" w:hAnsi="Times New Roman" w:cs="Times New Roman"/>
          <w:sz w:val="24"/>
          <w:szCs w:val="24"/>
        </w:rPr>
        <w:t xml:space="preserve">, </w:t>
      </w:r>
      <w:r>
        <w:rPr>
          <w:rFonts w:ascii="Times New Roman" w:hAnsi="Times New Roman" w:cs="Times New Roman"/>
          <w:sz w:val="24"/>
          <w:szCs w:val="24"/>
        </w:rPr>
        <w:t>ш</w:t>
      </w:r>
      <w:r w:rsidRPr="00C9671E">
        <w:rPr>
          <w:rFonts w:ascii="Times New Roman" w:hAnsi="Times New Roman" w:cs="Times New Roman"/>
          <w:sz w:val="24"/>
          <w:szCs w:val="24"/>
        </w:rPr>
        <w:t xml:space="preserve">емата за </w:t>
      </w:r>
      <w:r>
        <w:rPr>
          <w:rFonts w:ascii="Times New Roman" w:hAnsi="Times New Roman" w:cs="Times New Roman"/>
          <w:sz w:val="24"/>
          <w:szCs w:val="24"/>
        </w:rPr>
        <w:t>М</w:t>
      </w:r>
      <w:r w:rsidRPr="00C9671E">
        <w:rPr>
          <w:rFonts w:ascii="Times New Roman" w:hAnsi="Times New Roman" w:cs="Times New Roman"/>
          <w:sz w:val="24"/>
          <w:szCs w:val="24"/>
        </w:rPr>
        <w:t>ладинска</w:t>
      </w:r>
      <w:r>
        <w:rPr>
          <w:rFonts w:ascii="Times New Roman" w:hAnsi="Times New Roman" w:cs="Times New Roman"/>
          <w:sz w:val="24"/>
          <w:szCs w:val="24"/>
        </w:rPr>
        <w:t>та</w:t>
      </w:r>
      <w:r w:rsidRPr="00C9671E">
        <w:rPr>
          <w:rFonts w:ascii="Times New Roman" w:hAnsi="Times New Roman" w:cs="Times New Roman"/>
          <w:sz w:val="24"/>
          <w:szCs w:val="24"/>
        </w:rPr>
        <w:t xml:space="preserve"> гаранција, новодонесените мерки насочени кон негативните ефекти од КОВИД-19 и нивното следење, оценување и процена на влијанието.</w:t>
      </w:r>
    </w:p>
    <w:p w14:paraId="3DBC0D8F" w14:textId="252FD71D"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Стапката на невработеност изнесува 15,2 % во K4 2021 година, што е најниско ниво од осамостојувањето на земјата. Стапката на вработеност на жените се зголеми за 0,5 пп. (48,6 % од 15- до 64-годишна возраст), а вработеноста кај младите (15-24 години) се намали за 0,3 пп. на 18,3 отсто, а стапката на невработеност кај младите се намали на 34,6 % во К4 2021 година. Ова, главно, се должи на кризата со КОВИД-19. Главната мерка за справување со невработеноста кај младите продолжува да биде </w:t>
      </w:r>
      <w:r>
        <w:rPr>
          <w:rFonts w:ascii="Times New Roman" w:hAnsi="Times New Roman" w:cs="Times New Roman"/>
          <w:sz w:val="24"/>
          <w:szCs w:val="24"/>
        </w:rPr>
        <w:t>ш</w:t>
      </w:r>
      <w:r w:rsidRPr="00C9671E">
        <w:rPr>
          <w:rFonts w:ascii="Times New Roman" w:hAnsi="Times New Roman" w:cs="Times New Roman"/>
          <w:sz w:val="24"/>
          <w:szCs w:val="24"/>
        </w:rPr>
        <w:t xml:space="preserve">емата за </w:t>
      </w:r>
      <w:r>
        <w:rPr>
          <w:rFonts w:ascii="Times New Roman" w:hAnsi="Times New Roman" w:cs="Times New Roman"/>
          <w:sz w:val="24"/>
          <w:szCs w:val="24"/>
        </w:rPr>
        <w:t>М</w:t>
      </w:r>
      <w:r w:rsidRPr="00C9671E">
        <w:rPr>
          <w:rFonts w:ascii="Times New Roman" w:hAnsi="Times New Roman" w:cs="Times New Roman"/>
          <w:sz w:val="24"/>
          <w:szCs w:val="24"/>
        </w:rPr>
        <w:t xml:space="preserve">ладинска гаранција. Во 2021 година повеќе од 19.000 млади луѓе учествуваа во програмата, а 41 % успешно најдоа можности за вработување или обука. Во Младинската гаранција беа вклучени 969 Роми, од кои 148 се вработени на период од 4 месеци. Вработувањето на Ромите, долгорочно </w:t>
      </w:r>
      <w:r>
        <w:rPr>
          <w:rFonts w:ascii="Times New Roman" w:hAnsi="Times New Roman" w:cs="Times New Roman"/>
          <w:sz w:val="24"/>
          <w:szCs w:val="24"/>
        </w:rPr>
        <w:t xml:space="preserve">невработени </w:t>
      </w:r>
      <w:r w:rsidRPr="00C9671E">
        <w:rPr>
          <w:rFonts w:ascii="Times New Roman" w:hAnsi="Times New Roman" w:cs="Times New Roman"/>
          <w:sz w:val="24"/>
          <w:szCs w:val="24"/>
        </w:rPr>
        <w:t>ниско</w:t>
      </w:r>
      <w:r>
        <w:rPr>
          <w:rFonts w:ascii="Times New Roman" w:hAnsi="Times New Roman" w:cs="Times New Roman"/>
          <w:sz w:val="24"/>
          <w:szCs w:val="24"/>
        </w:rPr>
        <w:t xml:space="preserve">- </w:t>
      </w:r>
      <w:r w:rsidRPr="00C9671E">
        <w:rPr>
          <w:rFonts w:ascii="Times New Roman" w:hAnsi="Times New Roman" w:cs="Times New Roman"/>
          <w:sz w:val="24"/>
          <w:szCs w:val="24"/>
        </w:rPr>
        <w:t>квалификуваните</w:t>
      </w:r>
      <w:r>
        <w:rPr>
          <w:rFonts w:ascii="Times New Roman" w:hAnsi="Times New Roman" w:cs="Times New Roman"/>
          <w:sz w:val="24"/>
          <w:szCs w:val="24"/>
        </w:rPr>
        <w:t xml:space="preserve">, и </w:t>
      </w:r>
      <w:r w:rsidRPr="00C9671E">
        <w:rPr>
          <w:rFonts w:ascii="Times New Roman" w:hAnsi="Times New Roman" w:cs="Times New Roman"/>
          <w:sz w:val="24"/>
          <w:szCs w:val="24"/>
        </w:rPr>
        <w:t>лицата со попреченост е поддржано со шемата за гарантирана минимална помош воведена со Законот за социјална заштита.</w:t>
      </w:r>
    </w:p>
    <w:p w14:paraId="7260EA3B" w14:textId="356255E7" w:rsidR="003D4454" w:rsidRPr="00C9671E" w:rsidRDefault="003D4454" w:rsidP="006E4EB0">
      <w:pPr>
        <w:autoSpaceDE w:val="0"/>
        <w:autoSpaceDN w:val="0"/>
        <w:adjustRightInd w:val="0"/>
        <w:spacing w:before="120" w:after="120" w:line="240" w:lineRule="auto"/>
        <w:jc w:val="both"/>
        <w:rPr>
          <w:rFonts w:ascii="Times New Roman" w:hAnsi="Times New Roman" w:cs="Times New Roman"/>
          <w:i/>
          <w:color w:val="000000"/>
          <w:sz w:val="24"/>
          <w:szCs w:val="24"/>
        </w:rPr>
      </w:pPr>
      <w:r w:rsidRPr="00C9671E">
        <w:rPr>
          <w:rFonts w:ascii="Times New Roman" w:hAnsi="Times New Roman" w:cs="Times New Roman"/>
          <w:sz w:val="24"/>
          <w:szCs w:val="24"/>
        </w:rPr>
        <w:t>Постои умерено ниво на подготве</w:t>
      </w:r>
      <w:r>
        <w:rPr>
          <w:rFonts w:ascii="Times New Roman" w:hAnsi="Times New Roman" w:cs="Times New Roman"/>
          <w:sz w:val="24"/>
          <w:szCs w:val="24"/>
        </w:rPr>
        <w:t>ност</w:t>
      </w:r>
      <w:r w:rsidRPr="00C9671E">
        <w:rPr>
          <w:rFonts w:ascii="Times New Roman" w:hAnsi="Times New Roman" w:cs="Times New Roman"/>
          <w:sz w:val="24"/>
          <w:szCs w:val="24"/>
        </w:rPr>
        <w:t xml:space="preserve"> за учество во </w:t>
      </w:r>
      <w:r w:rsidRPr="00C9671E">
        <w:rPr>
          <w:rFonts w:ascii="Times New Roman" w:hAnsi="Times New Roman" w:cs="Times New Roman"/>
          <w:b/>
          <w:sz w:val="24"/>
          <w:szCs w:val="24"/>
        </w:rPr>
        <w:t>Европскиот социјален фонд</w:t>
      </w:r>
      <w:r w:rsidRPr="00C9671E">
        <w:rPr>
          <w:rFonts w:ascii="Times New Roman" w:hAnsi="Times New Roman" w:cs="Times New Roman"/>
          <w:sz w:val="24"/>
          <w:szCs w:val="24"/>
        </w:rPr>
        <w:t xml:space="preserve">. Индиректното управување со проектите на земјата корисничка (ИМБЦ) се во тек. Немаше напредок во зајакнувањето на капацитетите во државните органи за да се обезбеди нивната подготвеност да управуваат со ЕСФ </w:t>
      </w:r>
      <w:r w:rsidRPr="00C9671E">
        <w:rPr>
          <w:rFonts w:ascii="Times New Roman" w:hAnsi="Times New Roman" w:cs="Times New Roman"/>
          <w:i/>
          <w:sz w:val="24"/>
          <w:szCs w:val="24"/>
        </w:rPr>
        <w:t>(Види исто така Поглавје 22 - Регионална политика и координација на структурните инструменти).</w:t>
      </w:r>
    </w:p>
    <w:p w14:paraId="0B06DDFC" w14:textId="78BD3349" w:rsidR="003D4454" w:rsidRPr="00C9671E" w:rsidRDefault="003D4454" w:rsidP="006E4EB0">
      <w:pPr>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одреден напредок во областа на </w:t>
      </w:r>
      <w:r w:rsidRPr="00C9671E">
        <w:rPr>
          <w:rFonts w:ascii="Times New Roman" w:hAnsi="Times New Roman" w:cs="Times New Roman"/>
          <w:b/>
          <w:sz w:val="24"/>
          <w:szCs w:val="24"/>
        </w:rPr>
        <w:t>социјалната инклузија и заштита</w:t>
      </w:r>
      <w:r w:rsidRPr="00C9671E">
        <w:rPr>
          <w:rFonts w:ascii="Times New Roman" w:hAnsi="Times New Roman" w:cs="Times New Roman"/>
          <w:sz w:val="24"/>
          <w:szCs w:val="24"/>
        </w:rPr>
        <w:t xml:space="preserve">. </w:t>
      </w:r>
      <w:r>
        <w:rPr>
          <w:rFonts w:ascii="Times New Roman" w:hAnsi="Times New Roman" w:cs="Times New Roman"/>
          <w:sz w:val="24"/>
          <w:szCs w:val="24"/>
        </w:rPr>
        <w:t>Спроведувањето</w:t>
      </w:r>
      <w:r w:rsidRPr="00C9671E">
        <w:rPr>
          <w:rFonts w:ascii="Times New Roman" w:hAnsi="Times New Roman" w:cs="Times New Roman"/>
          <w:sz w:val="24"/>
          <w:szCs w:val="24"/>
        </w:rPr>
        <w:t xml:space="preserve"> на реформите што произлегуваат од новиот Закон за социјална заштита напредува. Има зголемување од 45 % во опфатот на корисниците на гарантирана минимална помош (ГМП) и 48,8 % во системот за детска заштита. Право на образовен додаток искористиле 28.749 ученици од основно и средно училиште. За корисниците на ГМП беа подготвени 3.300 поединечни планови за активирање. Беше воспоставена електронска размена на информации меѓу службите за вработување и службите за социјална заштита. Подготвена е Националната програма за развој на социјалната заштита 2022–2032 година. </w:t>
      </w:r>
      <w:r>
        <w:rPr>
          <w:rFonts w:ascii="Times New Roman" w:hAnsi="Times New Roman" w:cs="Times New Roman"/>
          <w:sz w:val="24"/>
          <w:szCs w:val="24"/>
        </w:rPr>
        <w:t>Процентот</w:t>
      </w:r>
      <w:r w:rsidRPr="00C9671E">
        <w:rPr>
          <w:rFonts w:ascii="Times New Roman" w:hAnsi="Times New Roman" w:cs="Times New Roman"/>
          <w:sz w:val="24"/>
          <w:szCs w:val="24"/>
        </w:rPr>
        <w:t xml:space="preserve"> на луѓето што живеат во ризик од сиромаштија или социјална исклученост </w:t>
      </w:r>
      <w:r>
        <w:rPr>
          <w:rFonts w:ascii="Times New Roman" w:hAnsi="Times New Roman" w:cs="Times New Roman"/>
          <w:sz w:val="24"/>
          <w:szCs w:val="24"/>
        </w:rPr>
        <w:t>незначително</w:t>
      </w:r>
      <w:r w:rsidRPr="00C9671E">
        <w:rPr>
          <w:rFonts w:ascii="Times New Roman" w:hAnsi="Times New Roman" w:cs="Times New Roman"/>
          <w:sz w:val="24"/>
          <w:szCs w:val="24"/>
        </w:rPr>
        <w:t xml:space="preserve"> се намали во последните години, но сè уште е на многу висока </w:t>
      </w:r>
      <w:r>
        <w:rPr>
          <w:rFonts w:ascii="Times New Roman" w:hAnsi="Times New Roman" w:cs="Times New Roman"/>
          <w:sz w:val="24"/>
          <w:szCs w:val="24"/>
        </w:rPr>
        <w:t xml:space="preserve">стапка </w:t>
      </w:r>
      <w:r w:rsidRPr="00C9671E">
        <w:rPr>
          <w:rFonts w:ascii="Times New Roman" w:hAnsi="Times New Roman" w:cs="Times New Roman"/>
          <w:sz w:val="24"/>
          <w:szCs w:val="24"/>
        </w:rPr>
        <w:t xml:space="preserve">од 32,6 % во 2020 година. </w:t>
      </w:r>
      <w:r>
        <w:rPr>
          <w:rFonts w:ascii="Times New Roman" w:hAnsi="Times New Roman" w:cs="Times New Roman"/>
          <w:sz w:val="24"/>
          <w:szCs w:val="24"/>
        </w:rPr>
        <w:t xml:space="preserve">Сѐ уште </w:t>
      </w:r>
      <w:r w:rsidRPr="00C9671E">
        <w:rPr>
          <w:rFonts w:ascii="Times New Roman" w:hAnsi="Times New Roman" w:cs="Times New Roman"/>
          <w:sz w:val="24"/>
          <w:szCs w:val="24"/>
        </w:rPr>
        <w:t>недоста</w:t>
      </w:r>
      <w:r>
        <w:rPr>
          <w:rFonts w:ascii="Times New Roman" w:hAnsi="Times New Roman" w:cs="Times New Roman"/>
          <w:sz w:val="24"/>
          <w:szCs w:val="24"/>
        </w:rPr>
        <w:t>сува</w:t>
      </w:r>
      <w:r w:rsidRPr="00C9671E">
        <w:rPr>
          <w:rFonts w:ascii="Times New Roman" w:hAnsi="Times New Roman" w:cs="Times New Roman"/>
          <w:sz w:val="24"/>
          <w:szCs w:val="24"/>
        </w:rPr>
        <w:t xml:space="preserve"> целосно воспоставен систем за следење и оценување </w:t>
      </w:r>
      <w:r>
        <w:rPr>
          <w:rFonts w:ascii="Times New Roman" w:hAnsi="Times New Roman" w:cs="Times New Roman"/>
          <w:sz w:val="24"/>
          <w:szCs w:val="24"/>
        </w:rPr>
        <w:t xml:space="preserve">на </w:t>
      </w:r>
      <w:r w:rsidRPr="00C9671E">
        <w:rPr>
          <w:rFonts w:ascii="Times New Roman" w:hAnsi="Times New Roman" w:cs="Times New Roman"/>
          <w:sz w:val="24"/>
          <w:szCs w:val="24"/>
        </w:rPr>
        <w:t>социјални</w:t>
      </w:r>
      <w:r>
        <w:rPr>
          <w:rFonts w:ascii="Times New Roman" w:hAnsi="Times New Roman" w:cs="Times New Roman"/>
          <w:sz w:val="24"/>
          <w:szCs w:val="24"/>
        </w:rPr>
        <w:t>те</w:t>
      </w:r>
      <w:r w:rsidRPr="00C9671E">
        <w:rPr>
          <w:rFonts w:ascii="Times New Roman" w:hAnsi="Times New Roman" w:cs="Times New Roman"/>
          <w:sz w:val="24"/>
          <w:szCs w:val="24"/>
        </w:rPr>
        <w:t xml:space="preserve"> услуги и </w:t>
      </w:r>
      <w:r>
        <w:rPr>
          <w:rFonts w:ascii="Times New Roman" w:hAnsi="Times New Roman" w:cs="Times New Roman"/>
          <w:sz w:val="24"/>
          <w:szCs w:val="24"/>
        </w:rPr>
        <w:t>соодветно</w:t>
      </w:r>
      <w:r w:rsidRPr="00C9671E">
        <w:rPr>
          <w:rFonts w:ascii="Times New Roman" w:hAnsi="Times New Roman" w:cs="Times New Roman"/>
          <w:sz w:val="24"/>
          <w:szCs w:val="24"/>
        </w:rPr>
        <w:t xml:space="preserve"> централизиран ИТ-систем за да ги следи шемите за социјална помош. Децентрализацијата на социјалната помош останува умерена.</w:t>
      </w:r>
    </w:p>
    <w:p w14:paraId="217ECC77" w14:textId="11BBEA9F" w:rsidR="003D4454" w:rsidRPr="00C9671E" w:rsidRDefault="003D4454" w:rsidP="006E4EB0">
      <w:pPr>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Спроведувањето на националната стратегија за </w:t>
      </w:r>
      <w:r w:rsidRPr="00C9671E">
        <w:rPr>
          <w:rFonts w:ascii="Times New Roman" w:hAnsi="Times New Roman" w:cs="Times New Roman"/>
          <w:b/>
          <w:sz w:val="24"/>
          <w:szCs w:val="24"/>
        </w:rPr>
        <w:t>деинституционализација</w:t>
      </w:r>
      <w:r w:rsidRPr="00C9671E">
        <w:rPr>
          <w:rFonts w:ascii="Times New Roman" w:hAnsi="Times New Roman" w:cs="Times New Roman"/>
          <w:sz w:val="24"/>
          <w:szCs w:val="24"/>
        </w:rPr>
        <w:t xml:space="preserve"> 2018-2027 напредуваше. Продолжи преселувањето на возрасните од институционална грижа во згрижувачки семејства или сместување во </w:t>
      </w:r>
      <w:r>
        <w:rPr>
          <w:rFonts w:ascii="Times New Roman" w:hAnsi="Times New Roman" w:cs="Times New Roman"/>
          <w:sz w:val="24"/>
          <w:szCs w:val="24"/>
        </w:rPr>
        <w:t>заеднички домови</w:t>
      </w:r>
      <w:r w:rsidRPr="00C9671E">
        <w:rPr>
          <w:rFonts w:ascii="Times New Roman" w:hAnsi="Times New Roman" w:cs="Times New Roman"/>
          <w:sz w:val="24"/>
          <w:szCs w:val="24"/>
        </w:rPr>
        <w:t>. Владата го донесе новиот Акциски план за спроведување на Стратегијата за деинституционализација 20</w:t>
      </w:r>
      <w:r>
        <w:rPr>
          <w:rFonts w:ascii="Times New Roman" w:hAnsi="Times New Roman" w:cs="Times New Roman"/>
          <w:sz w:val="24"/>
          <w:szCs w:val="24"/>
        </w:rPr>
        <w:t>2</w:t>
      </w:r>
      <w:r w:rsidRPr="00C9671E">
        <w:rPr>
          <w:rFonts w:ascii="Times New Roman" w:hAnsi="Times New Roman" w:cs="Times New Roman"/>
          <w:sz w:val="24"/>
          <w:szCs w:val="24"/>
        </w:rPr>
        <w:t xml:space="preserve">2-2024 година. Беше воспоставена испорака на услуги, како што се домашна нега, лична помош, поддржано живеење и привремена нега. Донесена е методологијата за лиценцирање и утврдување на трошоците за социјални услуги и </w:t>
      </w:r>
      <w:r>
        <w:rPr>
          <w:rFonts w:ascii="Times New Roman" w:hAnsi="Times New Roman" w:cs="Times New Roman"/>
          <w:sz w:val="24"/>
          <w:szCs w:val="24"/>
        </w:rPr>
        <w:t xml:space="preserve">беа </w:t>
      </w:r>
      <w:r w:rsidRPr="00C9671E">
        <w:rPr>
          <w:rFonts w:ascii="Times New Roman" w:hAnsi="Times New Roman" w:cs="Times New Roman"/>
          <w:sz w:val="24"/>
          <w:szCs w:val="24"/>
        </w:rPr>
        <w:t>лиценцирани даватели на социјални услуги</w:t>
      </w:r>
      <w:r>
        <w:rPr>
          <w:rFonts w:ascii="Times New Roman" w:hAnsi="Times New Roman" w:cs="Times New Roman"/>
          <w:sz w:val="24"/>
          <w:szCs w:val="24"/>
        </w:rPr>
        <w:t xml:space="preserve"> кои не се јавни</w:t>
      </w:r>
      <w:r w:rsidRPr="00C9671E">
        <w:rPr>
          <w:rFonts w:ascii="Times New Roman" w:hAnsi="Times New Roman" w:cs="Times New Roman"/>
          <w:sz w:val="24"/>
          <w:szCs w:val="24"/>
        </w:rPr>
        <w:t xml:space="preserve">. Здруженијата на граѓани и приватните субјекти се лиценцирани како даватели на социјални услуги. Продолжува преселувањето на корисниците од Специјалниот завод Демир Капија со отворање на 15 нови станбени единици во општините Неготино, Велес, Демир Капија и Скопје, </w:t>
      </w:r>
      <w:r>
        <w:rPr>
          <w:rFonts w:ascii="Times New Roman" w:hAnsi="Times New Roman" w:cs="Times New Roman"/>
          <w:sz w:val="24"/>
          <w:szCs w:val="24"/>
        </w:rPr>
        <w:t xml:space="preserve">од кои дел се </w:t>
      </w:r>
      <w:r w:rsidRPr="00C9671E">
        <w:rPr>
          <w:rFonts w:ascii="Times New Roman" w:hAnsi="Times New Roman" w:cs="Times New Roman"/>
          <w:sz w:val="24"/>
          <w:szCs w:val="24"/>
        </w:rPr>
        <w:t>управувани од приватни лиценцирани даватели на услуги.</w:t>
      </w:r>
    </w:p>
    <w:p w14:paraId="1876A263" w14:textId="4620068C"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Во однос на </w:t>
      </w:r>
      <w:r w:rsidRPr="00C9671E">
        <w:rPr>
          <w:rFonts w:ascii="Times New Roman" w:hAnsi="Times New Roman" w:cs="Times New Roman"/>
          <w:b/>
          <w:sz w:val="24"/>
          <w:szCs w:val="24"/>
        </w:rPr>
        <w:t>еднаквоста меѓу жените и мажите во вработувањето и социјалната политика</w:t>
      </w:r>
      <w:r w:rsidRPr="00C9671E">
        <w:rPr>
          <w:rFonts w:ascii="Times New Roman" w:hAnsi="Times New Roman" w:cs="Times New Roman"/>
          <w:sz w:val="24"/>
          <w:szCs w:val="24"/>
        </w:rPr>
        <w:t>, забележлив е родовиот јаз на пазарот на трудот. Конкретно, стапката на вработеност кај мажите беше 64,3 % во споредба со 45,5 % кај жените во 2021 година. Не се достапни податоци за инциденти на сексуално вознемирување на работното место или систем за нивно истражување. Според Законот за здравствено осигурување, жените треба да работат најмалку шест месеци кај ист работодавец за да имаат право на породилно отсуство. Капацитетите за згрижување деца и предучилишни установи се зголемија во текот на 2021 година со отворени 11 нови објекти, кои треба да ги поддржат жените да се вратат на работното место. Во 2022 година</w:t>
      </w:r>
      <w:r>
        <w:rPr>
          <w:rFonts w:ascii="Times New Roman" w:hAnsi="Times New Roman" w:cs="Times New Roman"/>
          <w:sz w:val="24"/>
          <w:szCs w:val="24"/>
        </w:rPr>
        <w:t xml:space="preserve">, </w:t>
      </w:r>
      <w:r w:rsidRPr="00C9671E">
        <w:rPr>
          <w:rFonts w:ascii="Times New Roman" w:hAnsi="Times New Roman" w:cs="Times New Roman"/>
          <w:sz w:val="24"/>
          <w:szCs w:val="24"/>
        </w:rPr>
        <w:t>грижа и образование се спроведуваат во 77 јавни и 30 приватни детски градинки. Потребно е дополнително зголемување на капацитетите, особено во урбаните средини. Сè уште постојат и родови стереотипи и родов јаз во платите</w:t>
      </w:r>
      <w:r>
        <w:rPr>
          <w:rFonts w:ascii="Times New Roman" w:hAnsi="Times New Roman" w:cs="Times New Roman"/>
          <w:sz w:val="24"/>
          <w:szCs w:val="24"/>
        </w:rPr>
        <w:t>.</w:t>
      </w:r>
    </w:p>
    <w:p w14:paraId="1A406970" w14:textId="55A805EB"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Треба да се донесе Законот за заштита од вознемирување на работното место и да продолжат активности за ратификација на Конвенцијата за насилство и вознемирување на Меѓународната организација на труд број 190 од 2019 година.</w:t>
      </w:r>
    </w:p>
    <w:p w14:paraId="3419AD61" w14:textId="291D9BB8" w:rsidR="003D4454" w:rsidRPr="008348F8" w:rsidRDefault="003D4454" w:rsidP="006E4EB0">
      <w:pPr>
        <w:autoSpaceDE w:val="0"/>
        <w:autoSpaceDN w:val="0"/>
        <w:adjustRightInd w:val="0"/>
        <w:spacing w:before="120" w:after="120" w:line="240" w:lineRule="auto"/>
        <w:jc w:val="both"/>
        <w:rPr>
          <w:rFonts w:ascii="Times New Roman" w:hAnsi="Times New Roman" w:cs="Times New Roman"/>
          <w:i/>
          <w:sz w:val="24"/>
          <w:szCs w:val="24"/>
        </w:rPr>
      </w:pPr>
      <w:r w:rsidRPr="00C9671E">
        <w:rPr>
          <w:rFonts w:ascii="Times New Roman" w:hAnsi="Times New Roman" w:cs="Times New Roman"/>
          <w:sz w:val="24"/>
          <w:szCs w:val="24"/>
        </w:rPr>
        <w:t xml:space="preserve">За </w:t>
      </w:r>
      <w:r w:rsidRPr="00C9671E">
        <w:rPr>
          <w:rFonts w:ascii="Times New Roman" w:hAnsi="Times New Roman" w:cs="Times New Roman"/>
          <w:b/>
          <w:sz w:val="24"/>
          <w:szCs w:val="24"/>
        </w:rPr>
        <w:t>недискриминација во вработувањето и социјалната политика</w:t>
      </w:r>
      <w:r w:rsidRPr="00C9671E">
        <w:rPr>
          <w:rFonts w:ascii="Times New Roman" w:hAnsi="Times New Roman" w:cs="Times New Roman"/>
          <w:sz w:val="24"/>
          <w:szCs w:val="24"/>
        </w:rPr>
        <w:t xml:space="preserve"> постои сеопфатна законска рамка. Во 2021 година новата Комисија за спречување и заштита од дискриминација работеше на 167 претставки (77 претставки поднесени до поранешната Комисија за спречување и заштита од дискриминација, при што 90 претставки се поднесени до новата Комисија). Комисијата утврди дека постои дискриминација во 40 случаи, додека 65 % од случаите се однесуваат на вработување и работни односи и пристап до стоки и услуги. Народниот правобранител работеше на 43 претставки за дискриминација, од кои 22 </w:t>
      </w:r>
      <w:r>
        <w:rPr>
          <w:rFonts w:ascii="Times New Roman" w:hAnsi="Times New Roman" w:cs="Times New Roman"/>
          <w:sz w:val="24"/>
          <w:szCs w:val="24"/>
        </w:rPr>
        <w:t xml:space="preserve">се </w:t>
      </w:r>
      <w:r w:rsidRPr="00C9671E">
        <w:rPr>
          <w:rFonts w:ascii="Times New Roman" w:hAnsi="Times New Roman" w:cs="Times New Roman"/>
          <w:sz w:val="24"/>
          <w:szCs w:val="24"/>
        </w:rPr>
        <w:t xml:space="preserve">случаи </w:t>
      </w:r>
      <w:r>
        <w:rPr>
          <w:rFonts w:ascii="Times New Roman" w:hAnsi="Times New Roman" w:cs="Times New Roman"/>
          <w:sz w:val="24"/>
          <w:szCs w:val="24"/>
        </w:rPr>
        <w:t>од областа на</w:t>
      </w:r>
      <w:r w:rsidRPr="00C9671E">
        <w:rPr>
          <w:rFonts w:ascii="Times New Roman" w:hAnsi="Times New Roman" w:cs="Times New Roman"/>
          <w:sz w:val="24"/>
          <w:szCs w:val="24"/>
        </w:rPr>
        <w:t xml:space="preserve"> вработување и работни односи, а шест </w:t>
      </w:r>
      <w:r>
        <w:rPr>
          <w:rFonts w:ascii="Times New Roman" w:hAnsi="Times New Roman" w:cs="Times New Roman"/>
          <w:sz w:val="24"/>
          <w:szCs w:val="24"/>
        </w:rPr>
        <w:t>од областа за</w:t>
      </w:r>
      <w:r w:rsidRPr="00C9671E">
        <w:rPr>
          <w:rFonts w:ascii="Times New Roman" w:hAnsi="Times New Roman" w:cs="Times New Roman"/>
          <w:sz w:val="24"/>
          <w:szCs w:val="24"/>
        </w:rPr>
        <w:t xml:space="preserve"> пристап до стоки и услуги. </w:t>
      </w:r>
      <w:r w:rsidRPr="00C9671E">
        <w:rPr>
          <w:rFonts w:ascii="Times New Roman" w:hAnsi="Times New Roman" w:cs="Times New Roman"/>
          <w:i/>
          <w:sz w:val="24"/>
          <w:szCs w:val="24"/>
        </w:rPr>
        <w:t>(Види исто така поглавје 23 — Судство и основни права).</w:t>
      </w:r>
    </w:p>
    <w:p w14:paraId="581D24D9" w14:textId="61B7DAE3" w:rsidR="003D4454" w:rsidRPr="00C9671E" w:rsidRDefault="003D4454" w:rsidP="006E4EB0">
      <w:pPr>
        <w:pStyle w:val="Heading3"/>
        <w:jc w:val="both"/>
      </w:pPr>
      <w:bookmarkStart w:id="222" w:name="_Toc117004177"/>
      <w:r w:rsidRPr="00C9671E">
        <w:t>Поглавје 20</w:t>
      </w:r>
      <w:r w:rsidRPr="00705B41">
        <w:t>:</w:t>
      </w:r>
      <w:r w:rsidRPr="00C9671E">
        <w:t xml:space="preserve"> Претпријатија и индустриска политика</w:t>
      </w:r>
      <w:bookmarkEnd w:id="217"/>
      <w:bookmarkEnd w:id="218"/>
      <w:bookmarkEnd w:id="219"/>
      <w:bookmarkEnd w:id="220"/>
      <w:bookmarkEnd w:id="221"/>
      <w:bookmarkEnd w:id="222"/>
    </w:p>
    <w:p w14:paraId="711B8507" w14:textId="65551253" w:rsidR="003D4454" w:rsidRPr="00C9671E" w:rsidRDefault="003D4454" w:rsidP="006E4EB0">
      <w:pPr>
        <w:autoSpaceDE w:val="0"/>
        <w:autoSpaceDN w:val="0"/>
        <w:adjustRightInd w:val="0"/>
        <w:spacing w:before="120" w:after="120" w:line="240" w:lineRule="auto"/>
        <w:ind w:right="-112"/>
        <w:jc w:val="both"/>
        <w:rPr>
          <w:rFonts w:ascii="Times New Roman" w:hAnsi="Times New Roman" w:cs="Times New Roman"/>
          <w:i/>
          <w:iCs/>
          <w:sz w:val="24"/>
          <w:szCs w:val="24"/>
        </w:rPr>
      </w:pPr>
      <w:r w:rsidRPr="00C9671E">
        <w:rPr>
          <w:rFonts w:ascii="Times New Roman" w:hAnsi="Times New Roman" w:cs="Times New Roman"/>
          <w:i/>
          <w:sz w:val="24"/>
          <w:szCs w:val="24"/>
        </w:rPr>
        <w:t>Претпријатијата и индустриската политика на ЕУ ја зајакнуваат конкурентноста, ги олеснуваат структурните промени и поттикнуваат опкружување погодно за бизнисот што ги стимулира малите и средните претпријатија (МСП).</w:t>
      </w:r>
    </w:p>
    <w:p w14:paraId="47CB4279"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оваа област. 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во спроведувањето на мерките за поддршка на компаниите во ублажувањето на штетните ефекти од пандемијата на КОВИД-19, како и инфлациските притисоци (особено во областа на енергијата) и прекините на синџирот на снабдување поради војната во Украина. Исто така, беа направени одредени напори за формализирање на неформалната економија. Законодавството сè уште не е целосно усогласено со Директивата на ЕУ за задоцнето плаќање.</w:t>
      </w:r>
    </w:p>
    <w:p w14:paraId="5BC1E935"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Препораките на Комисијата за 2021 година не беа целосно спроведени. Во наредната година земјата треба:</w:t>
      </w:r>
    </w:p>
    <w:p w14:paraId="391C7A82" w14:textId="77777777" w:rsidR="003D4454" w:rsidRPr="00C9671E" w:rsidRDefault="003D4454" w:rsidP="006E4EB0">
      <w:pPr>
        <w:numPr>
          <w:ilvl w:val="0"/>
          <w:numId w:val="5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ја консолидира институционалната структура и мандатите на јавните тела за да се обезбеди ефективно спроведување, следење и оценување на стратегиите и политичките мерки;</w:t>
      </w:r>
    </w:p>
    <w:p w14:paraId="1494A86B" w14:textId="77777777" w:rsidR="003D4454" w:rsidRPr="00C9671E" w:rsidRDefault="003D4454" w:rsidP="006E4EB0">
      <w:pPr>
        <w:numPr>
          <w:ilvl w:val="0"/>
          <w:numId w:val="5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обезбеди високо ниво на политичка посветеност при спроведување, оценување и обновување на стратегијата и акцискиот план за формализирање на неформалната економија, со посебно внимание на нејзината компонента за деловно опкружување;</w:t>
      </w:r>
    </w:p>
    <w:p w14:paraId="260DC686" w14:textId="77777777" w:rsidR="003D4454" w:rsidRPr="00C9671E" w:rsidRDefault="003D4454" w:rsidP="006E4EB0">
      <w:pPr>
        <w:numPr>
          <w:ilvl w:val="0"/>
          <w:numId w:val="50"/>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развие мерки за зголемување на конкурентноста на домашните компании и нивна интеграција во глобалните синџири на вредности, освен државната помош.</w:t>
      </w:r>
    </w:p>
    <w:p w14:paraId="7985B840" w14:textId="04471B2B"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b/>
          <w:sz w:val="24"/>
          <w:szCs w:val="24"/>
        </w:rPr>
        <w:lastRenderedPageBreak/>
        <w:t>Начелата на претпријатијата и индустриската политика</w:t>
      </w:r>
      <w:r w:rsidRPr="00C9671E">
        <w:rPr>
          <w:rFonts w:ascii="Times New Roman" w:hAnsi="Times New Roman" w:cs="Times New Roman"/>
          <w:sz w:val="24"/>
          <w:szCs w:val="24"/>
        </w:rPr>
        <w:t xml:space="preserve"> се вградени во неколку страте</w:t>
      </w:r>
      <w:r>
        <w:rPr>
          <w:rFonts w:ascii="Times New Roman" w:hAnsi="Times New Roman" w:cs="Times New Roman"/>
          <w:sz w:val="24"/>
          <w:szCs w:val="24"/>
        </w:rPr>
        <w:t>шки</w:t>
      </w:r>
      <w:r w:rsidRPr="00C9671E">
        <w:rPr>
          <w:rFonts w:ascii="Times New Roman" w:hAnsi="Times New Roman" w:cs="Times New Roman"/>
          <w:sz w:val="24"/>
          <w:szCs w:val="24"/>
        </w:rPr>
        <w:t xml:space="preserve"> документи што се во надлежност на различни национални органи. Сепак, присуството на неколку јавни тела со преклопени и конфликтни мандати ја прави институционалната поставеност сложена. Планот за економски раст (ПЕР) останува најважната хоризонтална листа на мерки во земјата. Законот за поддршка на инвестиции, кој ја обезбедува правната рамка за Планот, беше изменет за да овозможи поголема флексибилност и зголемени основи за државна помош,</w:t>
      </w:r>
      <w:bookmarkStart w:id="223" w:name="_Int_4U9I9xqy"/>
      <w:r w:rsidRPr="00C9671E">
        <w:rPr>
          <w:rFonts w:ascii="Times New Roman" w:hAnsi="Times New Roman" w:cs="Times New Roman"/>
          <w:sz w:val="24"/>
          <w:szCs w:val="24"/>
        </w:rPr>
        <w:t xml:space="preserve"> особено за</w:t>
      </w:r>
      <w:bookmarkEnd w:id="223"/>
      <w:r w:rsidRPr="00C9671E">
        <w:rPr>
          <w:rFonts w:ascii="Times New Roman" w:hAnsi="Times New Roman" w:cs="Times New Roman"/>
          <w:sz w:val="24"/>
          <w:szCs w:val="24"/>
        </w:rPr>
        <w:t xml:space="preserve"> големи инвестиции. Опсегот и целта на државната помош доделена во рамките на ПЕР сè уште се нејасни и не е направена процена на влијанието на државната помош од нејзиното воведување.</w:t>
      </w:r>
    </w:p>
    <w:p w14:paraId="19FA6A96" w14:textId="36E9F299"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Повеќето од постојните стратегии немаат соодветни механизми за оценување, показатели и систематска процена на влијанието. Одделот за следење и оценување во Министерството за економија е во рана фаза. Дополнително, земјата сè уште нема стратегија за привлекување странски инвестиции и промовирање иновации, и покрај различните програми што ги спроведува Фондот за иновации и технолошки развој. Допрва треба да се донесат Стратегијата за паметна специјализација и Стратегијата за промоција на извозот, која им помага на компаниите да преминат кон активности со повисока додадена вредност.</w:t>
      </w:r>
    </w:p>
    <w:p w14:paraId="36D7AF5F" w14:textId="480CB757"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Влијанието од КОВИД-19, како и новите ризици што произлегуваат од руската инвазија на Украина, вклучително и високите цени на енергијата, стоките и храната, во комбинација со прекините на синџирот на снабдување, ги влошија постојните структурни предизвици. </w:t>
      </w:r>
      <w:r w:rsidRPr="00C9671E">
        <w:rPr>
          <w:rFonts w:ascii="Times New Roman" w:hAnsi="Times New Roman" w:cs="Times New Roman"/>
          <w:color w:val="000000"/>
          <w:sz w:val="24"/>
          <w:szCs w:val="24"/>
        </w:rPr>
        <w:t xml:space="preserve">Тие негативно се одразија на конкурентноста и им нанесоа значително дополнително оптоварување на претпријатијата. </w:t>
      </w:r>
      <w:r w:rsidRPr="00C9671E">
        <w:rPr>
          <w:rFonts w:ascii="Times New Roman" w:hAnsi="Times New Roman" w:cs="Times New Roman"/>
          <w:sz w:val="24"/>
          <w:szCs w:val="24"/>
        </w:rPr>
        <w:t xml:space="preserve">Дополнително на шесте групи мерки за зголемување на отпорноста на компаниите против пандемијата на КОВИД-19 воведени во 2021 година, Владата донесе пакет од 400 милиони евра во март 2022 година за да ги заштити граѓаните од растот на цените на храната и енергијата и да им помогне на компаниите во одржувањето на ликвидноста. Со цел да се поддржи економското закрепнување преку зголемени инвестиции во иновации, дигитализација и човечки капитал, во октомври 2021 година беше донесен забрзан план насочен кон кофинансирање </w:t>
      </w:r>
      <w:r>
        <w:rPr>
          <w:rFonts w:ascii="Times New Roman" w:hAnsi="Times New Roman" w:cs="Times New Roman"/>
          <w:sz w:val="24"/>
          <w:szCs w:val="24"/>
        </w:rPr>
        <w:t>на</w:t>
      </w:r>
      <w:r w:rsidRPr="00C9671E">
        <w:rPr>
          <w:rFonts w:ascii="Times New Roman" w:hAnsi="Times New Roman" w:cs="Times New Roman"/>
          <w:sz w:val="24"/>
          <w:szCs w:val="24"/>
        </w:rPr>
        <w:t xml:space="preserve"> приватниот сектор.</w:t>
      </w:r>
    </w:p>
    <w:p w14:paraId="0B6F8FCE" w14:textId="77777777"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Честите промени на регулаторната рамка, сложените административни постапки, отсуството на правила во парафискалните давачки, нерамномерното извршување на деловните регулативи и неусогласеноста на вештините на пазарот на трудот остануваат главни пречки за водење бизнис. Врските меѓу претпријатијата и другите актери во иновациите остануваат многу слаби. Во октомври 2021 година Владата донесе нов акциски план за официјализирање на неформалната економија, по извештајот за спроведување на претходниот план. </w:t>
      </w:r>
      <w:r w:rsidRPr="00C9671E">
        <w:rPr>
          <w:rFonts w:ascii="Times New Roman" w:hAnsi="Times New Roman" w:cs="Times New Roman"/>
          <w:color w:val="000000"/>
          <w:sz w:val="24"/>
          <w:szCs w:val="24"/>
        </w:rPr>
        <w:t>Врз основа на објавената листа на парафискални давачки заедно со нивната вредност, почнаа напорите за оценување, поништување, оптимизирање и рационализирање на овие давачки, што може да помогнат и за формализирање на неформалната економија. Продолжија напорите за подобрување на националниот портал за е-услуги, кој обезбедува електронски услуги за граѓаните и компаниите.</w:t>
      </w:r>
    </w:p>
    <w:p w14:paraId="51EC7F77" w14:textId="77777777" w:rsidR="003D4454" w:rsidRPr="00C9671E" w:rsidRDefault="003D4454" w:rsidP="006E4EB0">
      <w:pPr>
        <w:autoSpaceDE w:val="0"/>
        <w:autoSpaceDN w:val="0"/>
        <w:adjustRightInd w:val="0"/>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политичките инструменти</w:t>
      </w:r>
      <w:r w:rsidRPr="00C9671E">
        <w:rPr>
          <w:rFonts w:ascii="Times New Roman" w:hAnsi="Times New Roman" w:cs="Times New Roman"/>
          <w:sz w:val="24"/>
          <w:szCs w:val="24"/>
        </w:rPr>
        <w:t>, не беше постигнат напредок во натамошното усогласување на Законот за финансиска дисциплина со Директивата на ЕУ за задоцнети плаќања, особено во контекст на обврските за плаќање на јавните тела.</w:t>
      </w:r>
    </w:p>
    <w:p w14:paraId="78E2E9D2" w14:textId="4A174408"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Постинвестициските бонуси доделени на компаниите во рамките на ПЕР продолжуваат потенцијално да ја нарушуваат пазарната конкуренција. И покрај тоа што Владата одобри седум проекти од национален интерес </w:t>
      </w:r>
      <w:r>
        <w:rPr>
          <w:rFonts w:ascii="Times New Roman" w:hAnsi="Times New Roman" w:cs="Times New Roman"/>
          <w:sz w:val="24"/>
          <w:szCs w:val="24"/>
        </w:rPr>
        <w:t xml:space="preserve">во </w:t>
      </w:r>
      <w:r w:rsidRPr="00C9671E">
        <w:rPr>
          <w:rFonts w:ascii="Times New Roman" w:hAnsi="Times New Roman" w:cs="Times New Roman"/>
          <w:sz w:val="24"/>
          <w:szCs w:val="24"/>
        </w:rPr>
        <w:t>согласно</w:t>
      </w:r>
      <w:r>
        <w:rPr>
          <w:rFonts w:ascii="Times New Roman" w:hAnsi="Times New Roman" w:cs="Times New Roman"/>
          <w:sz w:val="24"/>
          <w:szCs w:val="24"/>
        </w:rPr>
        <w:t>ст</w:t>
      </w:r>
      <w:r w:rsidRPr="00C9671E">
        <w:rPr>
          <w:rFonts w:ascii="Times New Roman" w:hAnsi="Times New Roman" w:cs="Times New Roman"/>
          <w:sz w:val="24"/>
          <w:szCs w:val="24"/>
        </w:rPr>
        <w:t xml:space="preserve"> со Законот за страте</w:t>
      </w:r>
      <w:r>
        <w:rPr>
          <w:rFonts w:ascii="Times New Roman" w:hAnsi="Times New Roman" w:cs="Times New Roman"/>
          <w:sz w:val="24"/>
          <w:szCs w:val="24"/>
        </w:rPr>
        <w:t>шки</w:t>
      </w:r>
      <w:r w:rsidRPr="00C9671E">
        <w:rPr>
          <w:rFonts w:ascii="Times New Roman" w:hAnsi="Times New Roman" w:cs="Times New Roman"/>
          <w:sz w:val="24"/>
          <w:szCs w:val="24"/>
        </w:rPr>
        <w:t xml:space="preserve"> </w:t>
      </w:r>
      <w:r w:rsidRPr="00C9671E">
        <w:rPr>
          <w:rFonts w:ascii="Times New Roman" w:hAnsi="Times New Roman" w:cs="Times New Roman"/>
          <w:sz w:val="24"/>
          <w:szCs w:val="24"/>
        </w:rPr>
        <w:lastRenderedPageBreak/>
        <w:t>инвестиции, целта на политиката и дискреционото овластување за доделување јавни средства за високи буџетски инвестиции според овој закон останува да се разјаснат.</w:t>
      </w:r>
    </w:p>
    <w:p w14:paraId="34310537" w14:textId="7999D2BA" w:rsidR="003D4454" w:rsidRPr="00C9671E" w:rsidRDefault="003D4454" w:rsidP="006E4EB0">
      <w:pPr>
        <w:autoSpaceDE w:val="0"/>
        <w:autoSpaceDN w:val="0"/>
        <w:adjustRightInd w:val="0"/>
        <w:spacing w:before="120" w:after="120" w:line="240" w:lineRule="auto"/>
        <w:jc w:val="both"/>
        <w:rPr>
          <w:rFonts w:ascii="Times New Roman" w:hAnsi="Times New Roman" w:cs="Times New Roman"/>
          <w:i/>
          <w:sz w:val="24"/>
          <w:szCs w:val="24"/>
        </w:rPr>
      </w:pPr>
      <w:r w:rsidRPr="00C9671E">
        <w:rPr>
          <w:rFonts w:ascii="Times New Roman" w:hAnsi="Times New Roman" w:cs="Times New Roman"/>
          <w:sz w:val="24"/>
          <w:szCs w:val="24"/>
        </w:rPr>
        <w:t>Кредитирањето на комерцијалните банки сè уште е главниот извор на финансирање на приватниот сектор додека алтернативното финансирање останува ограничено, исто така, поради недоволната законска рамка за факторинг и микрофинансирање. Развојната банка воведе гарантен капацитет и субвенционирана кредитна линија за микро и мали компании. Северна Македонија изрази интерес да учествува во Програмата за единствен пазар (ПЕП). Официјалните преговори за Договорот за асоцијација почнаа во март 2022 година и напредуваат.</w:t>
      </w:r>
    </w:p>
    <w:p w14:paraId="57A1E66C" w14:textId="77777777" w:rsidR="003D4454" w:rsidRPr="00C9671E" w:rsidRDefault="003D4454" w:rsidP="006E4EB0">
      <w:pPr>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секторските политики</w:t>
      </w:r>
      <w:r w:rsidRPr="00C9671E">
        <w:rPr>
          <w:rFonts w:ascii="Times New Roman" w:hAnsi="Times New Roman" w:cs="Times New Roman"/>
          <w:sz w:val="24"/>
          <w:szCs w:val="24"/>
        </w:rPr>
        <w:t>, индустриската стратегија се фокусира на производствената индустрија без секторски приоритети. Во текот на процесот на развивање стратегија за паметна специјализација, беа идентификувани следниве сектори: паметно земјоделство и прехранбена индустрија, индустрија 4.0 (која ја опфаќа механичката, металопреработувачката и автомобилската индустрија), како и паметни згради и материјали.</w:t>
      </w:r>
    </w:p>
    <w:p w14:paraId="79119619" w14:textId="77777777" w:rsidR="003D4454" w:rsidRPr="00C9671E" w:rsidRDefault="003D4454" w:rsidP="006E4EB0">
      <w:pPr>
        <w:pStyle w:val="Heading3"/>
        <w:jc w:val="both"/>
      </w:pPr>
      <w:bookmarkStart w:id="224" w:name="_Toc9430372"/>
      <w:bookmarkStart w:id="225" w:name="_Toc51252795"/>
      <w:bookmarkStart w:id="226" w:name="_Toc84329795"/>
      <w:bookmarkStart w:id="227" w:name="_Toc84631597"/>
      <w:bookmarkStart w:id="228" w:name="_Toc115619807"/>
      <w:bookmarkStart w:id="229" w:name="_Toc117004178"/>
      <w:r w:rsidRPr="00C9671E">
        <w:t>Поглавје 25</w:t>
      </w:r>
      <w:r w:rsidRPr="00705B41">
        <w:t>:</w:t>
      </w:r>
      <w:r w:rsidRPr="00C9671E">
        <w:t xml:space="preserve"> Наука и истражување</w:t>
      </w:r>
      <w:bookmarkEnd w:id="224"/>
      <w:bookmarkEnd w:id="225"/>
      <w:bookmarkEnd w:id="226"/>
      <w:bookmarkEnd w:id="227"/>
      <w:bookmarkEnd w:id="228"/>
      <w:bookmarkEnd w:id="229"/>
      <w:r w:rsidRPr="00C9671E">
        <w:t xml:space="preserve"> </w:t>
      </w:r>
    </w:p>
    <w:p w14:paraId="32B82742" w14:textId="4DBB2AA2" w:rsidR="003D4454" w:rsidRPr="00C9671E" w:rsidRDefault="003D4454" w:rsidP="006E4EB0">
      <w:pPr>
        <w:autoSpaceDE w:val="0"/>
        <w:autoSpaceDN w:val="0"/>
        <w:adjustRightInd w:val="0"/>
        <w:spacing w:before="120" w:after="120" w:line="240" w:lineRule="auto"/>
        <w:jc w:val="both"/>
        <w:rPr>
          <w:rFonts w:ascii="Times New Roman" w:hAnsi="Times New Roman" w:cs="Times New Roman"/>
          <w:i/>
          <w:iCs/>
          <w:sz w:val="24"/>
          <w:szCs w:val="24"/>
        </w:rPr>
      </w:pPr>
      <w:r w:rsidRPr="00C9671E">
        <w:rPr>
          <w:rFonts w:ascii="Times New Roman" w:hAnsi="Times New Roman" w:cs="Times New Roman"/>
          <w:i/>
          <w:sz w:val="24"/>
          <w:szCs w:val="24"/>
        </w:rPr>
        <w:t xml:space="preserve">ЕУ обезбедува значителна поддршка за истражување и иновации. Сите земји членки може да имаат корист од истражувачките програми на ЕУ, особено </w:t>
      </w:r>
      <w:r>
        <w:rPr>
          <w:rFonts w:ascii="Times New Roman" w:hAnsi="Times New Roman" w:cs="Times New Roman"/>
          <w:i/>
          <w:sz w:val="24"/>
          <w:szCs w:val="24"/>
        </w:rPr>
        <w:t>таму каде што постои</w:t>
      </w:r>
      <w:r w:rsidRPr="00C9671E">
        <w:rPr>
          <w:rFonts w:ascii="Times New Roman" w:hAnsi="Times New Roman" w:cs="Times New Roman"/>
          <w:i/>
          <w:sz w:val="24"/>
          <w:szCs w:val="24"/>
        </w:rPr>
        <w:t xml:space="preserve"> научна извонредност и солидни инвестиции во истражувањето.</w:t>
      </w:r>
    </w:p>
    <w:p w14:paraId="5DC6D149"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има </w:t>
      </w:r>
      <w:r w:rsidRPr="00C9671E">
        <w:rPr>
          <w:rFonts w:ascii="Times New Roman" w:hAnsi="Times New Roman" w:cs="Times New Roman"/>
          <w:b/>
          <w:sz w:val="24"/>
          <w:szCs w:val="24"/>
        </w:rPr>
        <w:t>добро ниво на подготовка</w:t>
      </w:r>
      <w:r w:rsidRPr="00C9671E">
        <w:rPr>
          <w:rFonts w:ascii="Times New Roman" w:hAnsi="Times New Roman" w:cs="Times New Roman"/>
          <w:sz w:val="24"/>
          <w:szCs w:val="24"/>
        </w:rPr>
        <w:t xml:space="preserve"> во областа на науката и истражувањето.</w:t>
      </w:r>
      <w:r w:rsidRPr="00C9671E">
        <w:rPr>
          <w:rFonts w:ascii="Times New Roman" w:hAnsi="Times New Roman" w:cs="Times New Roman"/>
          <w:b/>
          <w:sz w:val="24"/>
          <w:szCs w:val="24"/>
        </w:rPr>
        <w:t xml:space="preserve"> </w:t>
      </w:r>
      <w:r w:rsidRPr="00C9671E">
        <w:rPr>
          <w:rFonts w:ascii="Times New Roman" w:hAnsi="Times New Roman" w:cs="Times New Roman"/>
          <w:sz w:val="24"/>
          <w:szCs w:val="24"/>
        </w:rPr>
        <w:t xml:space="preserve">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во капацитетите за истражување и иновации и во јавниот и во приватниот сектор, бидејќи нови средства за иновации беа распределени на приватни компании; беше развиена Националната патна мапа за истражувачка инфраструктура; и беше обезбеден пристап до Хоризонт Европа и Европскиот облак за отворена наука. Во наредната година земјата треба:</w:t>
      </w:r>
    </w:p>
    <w:p w14:paraId="2F57D435" w14:textId="77777777" w:rsidR="003D4454" w:rsidRPr="00C9671E" w:rsidRDefault="003D4454" w:rsidP="006E4EB0">
      <w:pPr>
        <w:numPr>
          <w:ilvl w:val="0"/>
          <w:numId w:val="5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развие мерки за унапредување на Хоризонт Европа и други финансиски инструменти на ЕУ во областа;</w:t>
      </w:r>
    </w:p>
    <w:p w14:paraId="5774C44D" w14:textId="77777777" w:rsidR="003D4454" w:rsidRPr="00C9671E" w:rsidRDefault="003D4454" w:rsidP="006E4EB0">
      <w:pPr>
        <w:numPr>
          <w:ilvl w:val="0"/>
          <w:numId w:val="5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обезбеди доволно финансирање на Фондот за иновации;</w:t>
      </w:r>
    </w:p>
    <w:p w14:paraId="359BB004" w14:textId="77777777" w:rsidR="003D4454" w:rsidRPr="00C9671E" w:rsidRDefault="003D4454" w:rsidP="006E4EB0">
      <w:pPr>
        <w:numPr>
          <w:ilvl w:val="0"/>
          <w:numId w:val="51"/>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ја донесе Стратегијата за паметна специјализација и да почне со развивање мерки за нејзино спроведување.</w:t>
      </w:r>
    </w:p>
    <w:p w14:paraId="30BC4E77" w14:textId="77777777" w:rsidR="003D4454" w:rsidRPr="00C9671E" w:rsidRDefault="003D4454" w:rsidP="006E4EB0">
      <w:pPr>
        <w:autoSpaceDE w:val="0"/>
        <w:autoSpaceDN w:val="0"/>
        <w:adjustRightInd w:val="0"/>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szCs w:val="24"/>
        </w:rPr>
        <w:t xml:space="preserve">Постигнат е одреден напредок за усогласување со европските стандарди за </w:t>
      </w:r>
      <w:r w:rsidRPr="00C9671E">
        <w:rPr>
          <w:rFonts w:ascii="Times New Roman" w:hAnsi="Times New Roman" w:cs="Times New Roman"/>
          <w:b/>
          <w:color w:val="000000"/>
          <w:sz w:val="24"/>
          <w:szCs w:val="24"/>
        </w:rPr>
        <w:t>истражување и иновации</w:t>
      </w:r>
      <w:r w:rsidRPr="00C9671E">
        <w:rPr>
          <w:rFonts w:ascii="Times New Roman" w:hAnsi="Times New Roman" w:cs="Times New Roman"/>
          <w:color w:val="000000"/>
          <w:sz w:val="24"/>
          <w:szCs w:val="24"/>
        </w:rPr>
        <w:t>. Околу 50 научни и истражувачки проекти од посебен национален интерес или за развојот на лабораториски ресурси добија околу 4 милиони евра јавни средства. Од август 2021 година, Министерството за образование и наука активно учествува во работата на одборот за управување со европскиот облак за отворена наука. Понатаму, Факултетот за информатички технологии и компјутерско инженерство е примен како член на Европскиот облак за отворена наука. Фондот за иновации и технолошки развој ја оценуваше стратегијата за спроведување за истражување и иновации 2015-2020 година. И покрај ваквите движења, инвестициите во истражување и иновации сè уште се ниски и изнесуваат 0,38 % од БДП. Конкретно, учеството на приватниот сектор во вкупните трошоци за истражување останува ниско, на 0,1 % од БДП.</w:t>
      </w:r>
    </w:p>
    <w:p w14:paraId="431AE9DF" w14:textId="205F7101" w:rsidR="003D4454" w:rsidRPr="00C9671E" w:rsidRDefault="003D4454" w:rsidP="006E4EB0">
      <w:pPr>
        <w:autoSpaceDE w:val="0"/>
        <w:autoSpaceDN w:val="0"/>
        <w:adjustRightInd w:val="0"/>
        <w:spacing w:before="120" w:after="120" w:line="240" w:lineRule="auto"/>
        <w:jc w:val="both"/>
        <w:rPr>
          <w:rFonts w:ascii="Times New Roman" w:hAnsi="Times New Roman" w:cs="Times New Roman"/>
          <w:color w:val="000000"/>
          <w:sz w:val="24"/>
          <w:szCs w:val="24"/>
        </w:rPr>
      </w:pPr>
      <w:r w:rsidRPr="00C9671E">
        <w:rPr>
          <w:rFonts w:ascii="Times New Roman" w:hAnsi="Times New Roman" w:cs="Times New Roman"/>
          <w:color w:val="000000"/>
          <w:sz w:val="24"/>
          <w:szCs w:val="24"/>
        </w:rPr>
        <w:t xml:space="preserve">Настапот на земјата во </w:t>
      </w:r>
      <w:r w:rsidRPr="00C9671E">
        <w:rPr>
          <w:rFonts w:ascii="Times New Roman" w:hAnsi="Times New Roman" w:cs="Times New Roman"/>
          <w:b/>
          <w:color w:val="000000"/>
          <w:sz w:val="24"/>
          <w:szCs w:val="24"/>
        </w:rPr>
        <w:t>Хоризонт Европа</w:t>
      </w:r>
      <w:r w:rsidRPr="00C9671E">
        <w:rPr>
          <w:rFonts w:ascii="Times New Roman" w:hAnsi="Times New Roman" w:cs="Times New Roman"/>
          <w:color w:val="000000"/>
          <w:sz w:val="24"/>
          <w:szCs w:val="24"/>
        </w:rPr>
        <w:t xml:space="preserve">, на Рамковната програма за истражување и иновации на ЕУ, продолжи да се подобрува (достигнувајќи 14 проекти со финансирање од 2,8 милиони евра во 2021 година). Меѓународниот договор меѓу Европската Унија и </w:t>
      </w:r>
      <w:r w:rsidRPr="00C9671E">
        <w:rPr>
          <w:rFonts w:ascii="Times New Roman" w:hAnsi="Times New Roman" w:cs="Times New Roman"/>
          <w:color w:val="000000"/>
          <w:sz w:val="24"/>
          <w:szCs w:val="24"/>
        </w:rPr>
        <w:lastRenderedPageBreak/>
        <w:t xml:space="preserve">Северна Македонија за нејзино целосно поврзување со Хоризонт Европа беше потпишан во декември 2021 година, со ретроактивна важност од 1 јануари 2021 година. Во однос на новата </w:t>
      </w:r>
      <w:r w:rsidRPr="00C9671E">
        <w:rPr>
          <w:rFonts w:ascii="Times New Roman" w:hAnsi="Times New Roman" w:cs="Times New Roman"/>
          <w:b/>
          <w:color w:val="000000"/>
          <w:sz w:val="24"/>
          <w:szCs w:val="24"/>
        </w:rPr>
        <w:t>Европска истражувачка област</w:t>
      </w:r>
      <w:r w:rsidRPr="00C9671E">
        <w:rPr>
          <w:rFonts w:ascii="Times New Roman" w:hAnsi="Times New Roman" w:cs="Times New Roman"/>
          <w:color w:val="000000"/>
          <w:sz w:val="24"/>
          <w:szCs w:val="24"/>
        </w:rPr>
        <w:t>, капацитетот за истражување на земјата е делумно подобрен благодарение на јавна инвестиција од околу 3,6 милиони евра. Сепак, капацитетот за истражување, во споредба со просекот на ЕУ, останува слаб. Земјата потпиша нов договор за соработка во областа на образованието, науката и технолошкиот развој со Кина, со што вкупниот број меѓународни договори во оваа област се искачи на 27, од кои 11 се потпишани со земјите членки на ЕУ. Сепак, средствата и обемот на соработка остануваат скромни. Националната мапа за потребите на истражувачката инфраструктура беше финализирана со поддршка од Регионалниот центар за соработка.</w:t>
      </w:r>
    </w:p>
    <w:p w14:paraId="7A8AE427" w14:textId="0A2DB7F7" w:rsidR="003D4454" w:rsidRPr="00C9671E" w:rsidRDefault="003D4454" w:rsidP="006E4EB0">
      <w:pPr>
        <w:spacing w:before="120"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иновациите</w:t>
      </w:r>
      <w:r w:rsidRPr="00C9671E">
        <w:rPr>
          <w:rFonts w:ascii="Times New Roman" w:hAnsi="Times New Roman" w:cs="Times New Roman"/>
          <w:sz w:val="24"/>
          <w:szCs w:val="24"/>
        </w:rPr>
        <w:t>, Европската табла за иновации ја класифицира Северна Македонија како „иноватор во подем“ со подобрени перформанси, според стандардите на ЕУ. Од своето формирање во 2014 година, Фондот за иновации и технолошки развој инвестираше повеќе од 80 милиони евра јавни средства во околу 800 компании за стимулирање на иновациите и спроведување нови технологии.</w:t>
      </w:r>
    </w:p>
    <w:p w14:paraId="3D5FABB2" w14:textId="77777777" w:rsidR="003D4454" w:rsidRPr="00C9671E" w:rsidRDefault="003D4454" w:rsidP="006E4EB0">
      <w:pPr>
        <w:spacing w:before="120"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Подготовката за </w:t>
      </w:r>
      <w:r w:rsidRPr="00C9671E">
        <w:rPr>
          <w:rFonts w:ascii="Times New Roman" w:hAnsi="Times New Roman" w:cs="Times New Roman"/>
          <w:b/>
          <w:sz w:val="24"/>
          <w:szCs w:val="24"/>
        </w:rPr>
        <w:t>Стратегијата за паметна специјализација</w:t>
      </w:r>
      <w:r w:rsidRPr="00C9671E">
        <w:rPr>
          <w:rFonts w:ascii="Times New Roman" w:hAnsi="Times New Roman" w:cs="Times New Roman"/>
          <w:sz w:val="24"/>
          <w:szCs w:val="24"/>
        </w:rPr>
        <w:t xml:space="preserve"> стигна до последната фаза - процес на претприемачко откривање и потоа треба да се донесе и да се спроведе.</w:t>
      </w:r>
    </w:p>
    <w:p w14:paraId="1A4AAB80" w14:textId="77777777" w:rsidR="003D4454" w:rsidRPr="00C9671E" w:rsidRDefault="003D4454" w:rsidP="006E4EB0">
      <w:pPr>
        <w:pStyle w:val="Heading3"/>
      </w:pPr>
      <w:bookmarkStart w:id="230" w:name="_Toc9430373"/>
      <w:bookmarkStart w:id="231" w:name="_Toc51252796"/>
      <w:bookmarkStart w:id="232" w:name="_Toc84329796"/>
      <w:bookmarkStart w:id="233" w:name="_Toc84631598"/>
      <w:bookmarkStart w:id="234" w:name="_Toc115619808"/>
      <w:bookmarkStart w:id="235" w:name="_Toc117004179"/>
      <w:r w:rsidRPr="00C9671E">
        <w:t>Поглавје 26: Образование и култура</w:t>
      </w:r>
      <w:bookmarkEnd w:id="230"/>
      <w:bookmarkEnd w:id="231"/>
      <w:bookmarkEnd w:id="232"/>
      <w:bookmarkEnd w:id="233"/>
      <w:bookmarkEnd w:id="234"/>
      <w:bookmarkEnd w:id="235"/>
    </w:p>
    <w:p w14:paraId="3DA20D31" w14:textId="16F747CA" w:rsidR="003D4454" w:rsidRPr="00C9671E" w:rsidRDefault="003D4454" w:rsidP="006E4EB0">
      <w:pPr>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szCs w:val="24"/>
        </w:rPr>
        <w:t>ЕУ ја поддржува соработката во образованието и културата преку програми за финансирање и координација на политиката на земјите членки преку отворен метод на координација. ЕУ и земјите членки, исто така, мора да спречат дискриминација и да обезбедат квалитетно образование за децата на работниците мигранти, вклучувајќи ги и оние од неповолни средини.</w:t>
      </w:r>
    </w:p>
    <w:p w14:paraId="0CE0D36A" w14:textId="6BBE39FF"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образованието и културата, Северна Македонија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извештајниот период во кој сѐ уште траеше пандемијата на КОВИД-19, беше постигнат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Спроведувањето на Стратегијата за образование 2018-2025 година напредува бавно, како и развивањето соодветен систем за следење.</w:t>
      </w:r>
    </w:p>
    <w:p w14:paraId="281B4F58" w14:textId="7BC3D90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Препораките од минатата година беа делумно спроведени и поголем дел од нив остануваат важечки. Во наредната година, Северна Македонија треба особено:</w:t>
      </w:r>
    </w:p>
    <w:p w14:paraId="3ABFA189" w14:textId="2369E93D" w:rsidR="003D4454" w:rsidRPr="00C9671E" w:rsidRDefault="003D4454" w:rsidP="006E4EB0">
      <w:pPr>
        <w:numPr>
          <w:ilvl w:val="0"/>
          <w:numId w:val="5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донесе Закон за стручно образование и обука (СОО) и да формира и активира три регионални центри за СОО;</w:t>
      </w:r>
    </w:p>
    <w:p w14:paraId="64A4D1F2" w14:textId="77777777" w:rsidR="003D4454" w:rsidRPr="00C9671E" w:rsidRDefault="003D4454" w:rsidP="006E4EB0">
      <w:pPr>
        <w:numPr>
          <w:ilvl w:val="0"/>
          <w:numId w:val="5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го финализира донесувањето на Законот за образование на возрасни;</w:t>
      </w:r>
    </w:p>
    <w:p w14:paraId="22170E34" w14:textId="77777777" w:rsidR="003D4454" w:rsidRPr="00C9671E" w:rsidRDefault="003D4454" w:rsidP="006E4EB0">
      <w:pPr>
        <w:numPr>
          <w:ilvl w:val="0"/>
          <w:numId w:val="52"/>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го подобри пристапот до квалитетно образование за сите, особено за децата со попреченост и децата од ромските заедници, да го зголеми уписот на деца од предучилишна возраст и да продолжи да ја подобрува поддршката за обуки и професионален развој на наставниците.</w:t>
      </w:r>
    </w:p>
    <w:p w14:paraId="698899D5" w14:textId="3125A13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Законот за основното образование започна да се спроведува во учебната 2019-2020 година со што се дава основа за инклузивно и квалитетно образование за сите. Во согласност со Концептот за основно образование се донесе нова наставна програма за учениците од прво до четврто одделение за учебната 20</w:t>
      </w:r>
      <w:r>
        <w:rPr>
          <w:rFonts w:ascii="Times New Roman" w:hAnsi="Times New Roman" w:cs="Times New Roman"/>
          <w:sz w:val="24"/>
          <w:szCs w:val="24"/>
        </w:rPr>
        <w:t>21</w:t>
      </w:r>
      <w:r w:rsidRPr="00C9671E">
        <w:rPr>
          <w:rFonts w:ascii="Times New Roman" w:hAnsi="Times New Roman" w:cs="Times New Roman"/>
          <w:sz w:val="24"/>
          <w:szCs w:val="24"/>
        </w:rPr>
        <w:t>-2022 година. Се спроведоа значителен број обуки за наставници за новите наставни програми.</w:t>
      </w:r>
    </w:p>
    <w:p w14:paraId="38828261"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Новиот закон за СОО сѐ уште не е донесен. Во него се нагласува учењето преку работа и улогата на петте регионални центри за СОО (РСОО) што треба да се основаат низ земјата и се очекува да обезбедат посебни обуки насочени кон потребите на локалниот </w:t>
      </w:r>
      <w:r w:rsidRPr="00C9671E">
        <w:rPr>
          <w:rFonts w:ascii="Times New Roman" w:hAnsi="Times New Roman" w:cs="Times New Roman"/>
          <w:sz w:val="24"/>
          <w:szCs w:val="24"/>
        </w:rPr>
        <w:lastRenderedPageBreak/>
        <w:t xml:space="preserve">пазар на труд во координација со бизнис-заедницата. РСОО на крајот треба исто така да прераснат во центри за извонредност со големи инвестиции за поддршка на училиштата. Беше развиена кампања за унапредување на стручното образование во земјата под мотото </w:t>
      </w:r>
      <w:r w:rsidRPr="00C9671E">
        <w:rPr>
          <w:rFonts w:ascii="Times New Roman" w:hAnsi="Times New Roman" w:cs="Times New Roman"/>
          <w:sz w:val="24"/>
          <w:szCs w:val="24"/>
          <w:cs/>
        </w:rPr>
        <w:t>„</w:t>
      </w:r>
      <w:r w:rsidRPr="00C9671E">
        <w:rPr>
          <w:rFonts w:ascii="Times New Roman" w:hAnsi="Times New Roman" w:cs="Times New Roman"/>
          <w:sz w:val="24"/>
          <w:szCs w:val="24"/>
        </w:rPr>
        <w:t>Учи паметно, работи професионално</w:t>
      </w:r>
      <w:r w:rsidRPr="00C9671E">
        <w:rPr>
          <w:rFonts w:ascii="Times New Roman" w:hAnsi="Times New Roman" w:cs="Times New Roman"/>
          <w:sz w:val="24"/>
          <w:szCs w:val="24"/>
          <w:cs/>
        </w:rPr>
        <w:t>“</w:t>
      </w:r>
      <w:r w:rsidRPr="00C9671E">
        <w:rPr>
          <w:rFonts w:ascii="Times New Roman" w:hAnsi="Times New Roman" w:cs="Times New Roman"/>
          <w:sz w:val="24"/>
          <w:szCs w:val="24"/>
        </w:rPr>
        <w:t>. Трговските друштва, стручните средни училишта, Стопанската комора и Министерството за образование го поддржуваат развојот на наставна програма во училиштата со обезбедување зголемен број места за стажирање во приватни компании. За оваа цел се отворија речиси 10 паралелки за двојно образование, со зголемен број можности за практично образование со поддршка од јавни и приватни партнерства. Законот за образование на возрасните треба итно да се донесе со цел дополнително да се разјасни потребата за идните чекори на реформата.</w:t>
      </w:r>
    </w:p>
    <w:p w14:paraId="01D0A2B3" w14:textId="7C1E9A7F"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Јавната потрошувачка за </w:t>
      </w:r>
      <w:r w:rsidRPr="00C9671E">
        <w:rPr>
          <w:rFonts w:ascii="Times New Roman" w:hAnsi="Times New Roman" w:cs="Times New Roman"/>
          <w:b/>
          <w:sz w:val="24"/>
          <w:szCs w:val="24"/>
        </w:rPr>
        <w:t>образование и обука</w:t>
      </w:r>
      <w:r w:rsidRPr="00C9671E">
        <w:rPr>
          <w:rFonts w:ascii="Times New Roman" w:hAnsi="Times New Roman" w:cs="Times New Roman"/>
          <w:sz w:val="24"/>
          <w:szCs w:val="24"/>
        </w:rPr>
        <w:t xml:space="preserve"> минимално се зголеми на 3,76% од БДП во 2021 година, што сѐ уште е далеку од просекот на ЕУ од 5%. По период на намалувања на буџетот поради пандемијата, во 2021 година буџетот за образование како приоритет го стави инвестирањето за подобрување на квалитетот на основното и на средното образование. Иако беше постигнат одреден напредок во однос на предучилишното образование, целокупното ниво на упис остана ниско, особено земајќи ја предвид пандемијата на КОВИД-19. Со оглед на тоа што целта на ЕУ за образование и обука за 2020 година за рано детско образование и посета на центри за детско згрижување е поставена на 95%, само 45% од децата од 3-6 години во Северна Македонија биле запишани во лиценцирани установи за рано детско образование во периодот </w:t>
      </w:r>
      <w:r>
        <w:rPr>
          <w:rFonts w:ascii="Times New Roman" w:hAnsi="Times New Roman" w:cs="Times New Roman"/>
          <w:sz w:val="24"/>
          <w:szCs w:val="24"/>
        </w:rPr>
        <w:t xml:space="preserve">од </w:t>
      </w:r>
      <w:r w:rsidRPr="00C9671E">
        <w:rPr>
          <w:rFonts w:ascii="Times New Roman" w:hAnsi="Times New Roman" w:cs="Times New Roman"/>
          <w:sz w:val="24"/>
          <w:szCs w:val="24"/>
        </w:rPr>
        <w:t xml:space="preserve">2020-2021 година. Ова претставува </w:t>
      </w:r>
      <w:r>
        <w:rPr>
          <w:rFonts w:ascii="Times New Roman" w:hAnsi="Times New Roman" w:cs="Times New Roman"/>
          <w:sz w:val="24"/>
          <w:szCs w:val="24"/>
        </w:rPr>
        <w:t>незначителен</w:t>
      </w:r>
      <w:r w:rsidRPr="00C9671E">
        <w:rPr>
          <w:rFonts w:ascii="Times New Roman" w:hAnsi="Times New Roman" w:cs="Times New Roman"/>
          <w:sz w:val="24"/>
          <w:szCs w:val="24"/>
        </w:rPr>
        <w:t xml:space="preserve"> пораст во споредба со минатата година. Освен што се проширија капацитетите за инклузија на поголем број деца во предучилишното образование, се направија и напори за подобрување на квалитетот на предучилишното образование.</w:t>
      </w:r>
    </w:p>
    <w:p w14:paraId="3BFE703D"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Што се однесува до другите нивоа на образование, во учебната 2020-2021 година 90,8% од децата биле запишани во основно образование (90,6% машки, 91% женски) и 78,9% во средно образование (79,8% женски, 78,1% машки). Вкупниот број е 71.811 ученици од кои 35.200 се женски. Постигнат е значителен напредок во унапредувањето на образованието во областа на СОО на секундарно ниво: стапката на учество на учениците во секундарниот систем за СОО бележи постојан пораст: 64% во 2021 година, споредено со 62,1% во 2020 година и 61,8% во 2019 година. Во високото образование, вкупниот број уписи останува низок. Бројот на запишани студенти во прва година на студии бележи опаѓање во последниве три години.</w:t>
      </w:r>
    </w:p>
    <w:p w14:paraId="2B24AB61" w14:textId="3D19E5BC"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2021 година се спроведе главното тестирање на Прогресот во меѓународната студија за </w:t>
      </w:r>
      <w:r>
        <w:rPr>
          <w:rFonts w:ascii="Times New Roman" w:hAnsi="Times New Roman" w:cs="Times New Roman"/>
          <w:sz w:val="24"/>
          <w:szCs w:val="24"/>
        </w:rPr>
        <w:t>оспособеноста</w:t>
      </w:r>
      <w:r w:rsidRPr="00C9671E">
        <w:rPr>
          <w:rFonts w:ascii="Times New Roman" w:hAnsi="Times New Roman" w:cs="Times New Roman"/>
          <w:sz w:val="24"/>
          <w:szCs w:val="24"/>
        </w:rPr>
        <w:t xml:space="preserve"> за читање (ПИРЛС 2021 година). База на податоци беше испратена до Меѓународното здружение за оцена на образовните достигнувања (ИЕА) и истата беше одобрена. Државниот испитен центар учествуваше во подготовката на регионален извештај за постигнувањата на учениците во ПИРЛС 2021 година. Беше потпишан договор за учество во Меѓународното истражување за предавање и учење (ТАЛИС 2024 година). Беше формирана работна група во Државниот испитен центар за спроведување на студијата.</w:t>
      </w:r>
    </w:p>
    <w:p w14:paraId="38CF8334"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Концепт за инклузивно образование беше донесен во учебната 2021-2022 година во согласност со новиот Закон за основното образование: во овој период специјалните училишта продолжија да функционираат како основни училишта со ресурсни центри чија цел е да го поддржат процесот на учење на учениците со попреченост. Во академската 2021-2022 година беа доделени стипендии на 151 ученик со попреченост, кои беа вклучени во редовното образование, со што во овој проект се опфатија вкупно 470 ученици. Процентот на студенти Роми запишани во високообразовните институции </w:t>
      </w:r>
      <w:r w:rsidRPr="00C9671E">
        <w:rPr>
          <w:rFonts w:ascii="Times New Roman" w:hAnsi="Times New Roman" w:cs="Times New Roman"/>
          <w:sz w:val="24"/>
          <w:szCs w:val="24"/>
        </w:rPr>
        <w:lastRenderedPageBreak/>
        <w:t>е зголемен во последните три години од 46% на 52%. За академската 2021-2022 година, вкупно 130 стипендии им беа доделени на студенти Роми од јавните и приватните образовни институции и универзитетите во земјата.</w:t>
      </w:r>
    </w:p>
    <w:p w14:paraId="0BE92900"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согласност со регулативата, од учебната 2020-2021 година за наставниците во основните и средните училишта почнаа да се спроведуваат стручни испити. Новите правилници јасно ги дефинираат обврските, условите и начинот на реализација на стажирањето и на стручниот испит со обезбедување транспарентност за целиот процес на селекција.</w:t>
      </w:r>
    </w:p>
    <w:p w14:paraId="0AD6A6F1"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Земјата продолжува активно да учествува во програмата Еразмус+ и во Европскиот солидарен корпус како земја од програмата. Во рамките на повикот во 2021 година беа доделени грантови за вкупно 118 проекти, вклучувајќи и 22 проекти во младинскиот сектор. Се предвидува дека во 22 од доделените проекти за млади ќе бидат вклучени 615 млади учесници од кои 77 учесници се во неповолна положба. Предвидениот број учесници во сите доделени проекти во рамките на повикот од 2021 година е близу 2.000.</w:t>
      </w:r>
    </w:p>
    <w:p w14:paraId="67CF1908"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Предлозите за изменување на правната рамка за </w:t>
      </w:r>
      <w:r w:rsidRPr="00C9671E">
        <w:rPr>
          <w:rFonts w:ascii="Times New Roman" w:hAnsi="Times New Roman" w:cs="Times New Roman"/>
          <w:b/>
          <w:bCs/>
          <w:sz w:val="24"/>
          <w:szCs w:val="24"/>
        </w:rPr>
        <w:t>култура</w:t>
      </w:r>
      <w:r w:rsidRPr="00C9671E">
        <w:rPr>
          <w:rFonts w:ascii="Times New Roman" w:hAnsi="Times New Roman" w:cs="Times New Roman"/>
          <w:sz w:val="24"/>
          <w:szCs w:val="24"/>
        </w:rPr>
        <w:t xml:space="preserve"> и заштита на културното наследство беа повлечени од прелиминарната постапка, додека ревизијата на Националната стратегија за заштита на културното наследство беше дополнително одложена. Спроведувањето на Националната стратегија за развој на културата 2018-2022 година не беше поддржано со соодветни буџетски распределби. Распределбата на средства во рамките на националната програма за проекти продолжува да биде критикувана од многу оператори во полето на културата поради недостаток на транспарентност во одобрувањето грантови. Функционалната анализа на Министерството за култура и специјализираните органи ја нагласија, меѓу другото, потребата од реформи, земајќи ги предвид новите културни практики, растот на културните и креативните индустрии и влијанието на дигиталните технологии. Има потреба од понатамошно зајакнување на капацитетите на Министерството за култура и на другите институции заради креирање и управување со политики на полето на културата. Постои слаб институционален одговор и меѓуинституционална соработка на полето на заштита на културното наследство и спречување дивоградби и денационализација на културното наследство со </w:t>
      </w:r>
      <w:r w:rsidRPr="00C9671E">
        <w:rPr>
          <w:rFonts w:ascii="Times New Roman" w:hAnsi="Times New Roman" w:cs="Times New Roman"/>
          <w:sz w:val="24"/>
          <w:szCs w:val="24"/>
          <w:cs/>
        </w:rPr>
        <w:t>„</w:t>
      </w:r>
      <w:r w:rsidRPr="00C9671E">
        <w:rPr>
          <w:rFonts w:ascii="Times New Roman" w:hAnsi="Times New Roman" w:cs="Times New Roman"/>
          <w:sz w:val="24"/>
          <w:szCs w:val="24"/>
        </w:rPr>
        <w:t>статус од особено значење</w:t>
      </w:r>
      <w:r w:rsidRPr="00C9671E">
        <w:rPr>
          <w:rFonts w:ascii="Times New Roman" w:hAnsi="Times New Roman" w:cs="Times New Roman"/>
          <w:sz w:val="24"/>
          <w:szCs w:val="24"/>
          <w:cs/>
        </w:rPr>
        <w:t>“</w:t>
      </w:r>
      <w:r w:rsidRPr="00C9671E">
        <w:rPr>
          <w:rFonts w:ascii="Times New Roman" w:hAnsi="Times New Roman" w:cs="Times New Roman"/>
          <w:sz w:val="24"/>
          <w:szCs w:val="24"/>
        </w:rPr>
        <w:t>, како што се Охридската и Старата скопска чаршија. Културното наследство на земјата не е доволно заштитено и зајакнато. Бројот на корисници на програмата „Креативна Европа“ продолжува да биде задоволителен со вкупно 24 проекти за периодот од 2020 до 2021 година.</w:t>
      </w:r>
    </w:p>
    <w:p w14:paraId="0F002B90"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развивање </w:t>
      </w:r>
      <w:r w:rsidRPr="00C9671E">
        <w:rPr>
          <w:rFonts w:ascii="Times New Roman" w:hAnsi="Times New Roman" w:cs="Times New Roman"/>
          <w:b/>
          <w:sz w:val="24"/>
          <w:szCs w:val="24"/>
        </w:rPr>
        <w:t xml:space="preserve">младински </w:t>
      </w:r>
      <w:r w:rsidRPr="00C9671E">
        <w:rPr>
          <w:rFonts w:ascii="Times New Roman" w:hAnsi="Times New Roman" w:cs="Times New Roman"/>
          <w:sz w:val="24"/>
          <w:szCs w:val="24"/>
        </w:rPr>
        <w:t xml:space="preserve">политики, Агенцијата за </w:t>
      </w:r>
      <w:r w:rsidRPr="00C9671E">
        <w:rPr>
          <w:rFonts w:ascii="Times New Roman" w:hAnsi="Times New Roman" w:cs="Times New Roman"/>
          <w:b/>
          <w:sz w:val="24"/>
          <w:szCs w:val="24"/>
        </w:rPr>
        <w:t>млади</w:t>
      </w:r>
      <w:r w:rsidRPr="00C9671E">
        <w:rPr>
          <w:rFonts w:ascii="Times New Roman" w:hAnsi="Times New Roman" w:cs="Times New Roman"/>
          <w:sz w:val="24"/>
          <w:szCs w:val="24"/>
        </w:rPr>
        <w:t xml:space="preserve"> и </w:t>
      </w:r>
      <w:r w:rsidRPr="00C9671E">
        <w:rPr>
          <w:rFonts w:ascii="Times New Roman" w:hAnsi="Times New Roman" w:cs="Times New Roman"/>
          <w:b/>
          <w:sz w:val="24"/>
          <w:szCs w:val="24"/>
        </w:rPr>
        <w:t>спорт</w:t>
      </w:r>
      <w:r w:rsidRPr="00C9671E">
        <w:rPr>
          <w:rFonts w:ascii="Times New Roman" w:hAnsi="Times New Roman" w:cs="Times New Roman"/>
          <w:sz w:val="24"/>
          <w:szCs w:val="24"/>
        </w:rPr>
        <w:t xml:space="preserve"> одржува регистар на младински организации во кои беа регистрирани 80 организации од влегувањето во сила на оваа мерка. Агенцијата донесе Правилник за стандардизација на центрите за млади во транспарентен процес, а неколку центри беа креирани низ земјата. Исто така, агенцијата го поддржа отворањето на четири младински центри преку обезбедување техничка помош и опрема.</w:t>
      </w:r>
    </w:p>
    <w:p w14:paraId="1493FD1F" w14:textId="77777777" w:rsidR="003D4454" w:rsidRPr="00C9671E" w:rsidRDefault="003D4454" w:rsidP="006E4EB0">
      <w:pPr>
        <w:pStyle w:val="Heading3"/>
      </w:pPr>
      <w:bookmarkStart w:id="236" w:name="_Toc9430376"/>
      <w:bookmarkStart w:id="237" w:name="_Toc51252799"/>
      <w:bookmarkStart w:id="238" w:name="_Toc84329797"/>
      <w:bookmarkStart w:id="239" w:name="_Toc84631599"/>
      <w:bookmarkStart w:id="240" w:name="_Toc115619809"/>
      <w:bookmarkStart w:id="241" w:name="_Toc117004180"/>
      <w:r w:rsidRPr="00C9671E">
        <w:t>Поглавје 29: Царинска унија</w:t>
      </w:r>
      <w:bookmarkEnd w:id="236"/>
      <w:bookmarkEnd w:id="237"/>
      <w:bookmarkEnd w:id="238"/>
      <w:bookmarkEnd w:id="239"/>
      <w:bookmarkEnd w:id="240"/>
      <w:bookmarkEnd w:id="241"/>
      <w:r w:rsidRPr="00C9671E">
        <w:t xml:space="preserve"> </w:t>
      </w:r>
    </w:p>
    <w:p w14:paraId="0C623E85" w14:textId="77777777" w:rsidR="003D4454" w:rsidRPr="00C9671E" w:rsidRDefault="003D4454" w:rsidP="006E4EB0">
      <w:pPr>
        <w:autoSpaceDE w:val="0"/>
        <w:autoSpaceDN w:val="0"/>
        <w:snapToGrid w:val="0"/>
        <w:spacing w:after="120" w:line="240" w:lineRule="auto"/>
        <w:jc w:val="both"/>
        <w:rPr>
          <w:rFonts w:ascii="Times New Roman" w:hAnsi="Times New Roman" w:cs="Times New Roman"/>
          <w:i/>
          <w:sz w:val="24"/>
          <w:szCs w:val="24"/>
        </w:rPr>
      </w:pPr>
      <w:r w:rsidRPr="00C9671E">
        <w:rPr>
          <w:rFonts w:ascii="Times New Roman" w:hAnsi="Times New Roman" w:cs="Times New Roman"/>
          <w:i/>
          <w:sz w:val="24"/>
          <w:szCs w:val="24"/>
        </w:rPr>
        <w:t>Сите земји членки се дел од царинската унија на ЕУ и ги следат истите царински правила и постапки. Ова наложува усогласување на законодавството, како и соодветен капацитет за спроведување, примена и пристап до заедничките компјутеризирани царински системи.</w:t>
      </w:r>
    </w:p>
    <w:tbl>
      <w:tblPr>
        <w:tblW w:w="0" w:type="auto"/>
        <w:tblInd w:w="108" w:type="dxa"/>
        <w:tblLayout w:type="fixed"/>
        <w:tblCellMar>
          <w:left w:w="0" w:type="dxa"/>
          <w:right w:w="0" w:type="dxa"/>
        </w:tblCellMar>
        <w:tblLook w:val="04A0" w:firstRow="1" w:lastRow="0" w:firstColumn="1" w:lastColumn="0" w:noHBand="0" w:noVBand="1"/>
      </w:tblPr>
      <w:tblGrid>
        <w:gridCol w:w="9072"/>
      </w:tblGrid>
      <w:tr w:rsidR="003D4454" w:rsidRPr="00C9671E" w14:paraId="7EE25FFF" w14:textId="77777777" w:rsidTr="006E4EB0">
        <w:trPr>
          <w:trHeight w:val="416"/>
        </w:trPr>
        <w:tc>
          <w:tcPr>
            <w:tcW w:w="907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0526E5" w14:textId="31FDEF8A" w:rsidR="003D4454" w:rsidRPr="00C9671E" w:rsidRDefault="003D4454" w:rsidP="006E4EB0">
            <w:pPr>
              <w:autoSpaceDE w:val="0"/>
              <w:autoSpaceDN w:val="0"/>
              <w:snapToGri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има </w:t>
            </w:r>
            <w:r w:rsidRPr="00C9671E">
              <w:rPr>
                <w:rFonts w:ascii="Times New Roman" w:hAnsi="Times New Roman" w:cs="Times New Roman"/>
                <w:b/>
                <w:sz w:val="24"/>
                <w:szCs w:val="24"/>
              </w:rPr>
              <w:t>добро ниво на подготвеност</w:t>
            </w:r>
            <w:r w:rsidRPr="00C9671E">
              <w:rPr>
                <w:rFonts w:ascii="Times New Roman" w:hAnsi="Times New Roman" w:cs="Times New Roman"/>
                <w:sz w:val="24"/>
                <w:szCs w:val="24"/>
              </w:rPr>
              <w:t xml:space="preserve"> во оваа област. Постигнат е </w:t>
            </w:r>
            <w:r w:rsidRPr="00C9671E">
              <w:rPr>
                <w:rFonts w:ascii="Times New Roman" w:hAnsi="Times New Roman" w:cs="Times New Roman"/>
                <w:b/>
                <w:sz w:val="24"/>
                <w:szCs w:val="24"/>
              </w:rPr>
              <w:lastRenderedPageBreak/>
              <w:t>одреден напредок</w:t>
            </w:r>
            <w:r w:rsidRPr="00C9671E">
              <w:rPr>
                <w:rFonts w:ascii="Times New Roman" w:hAnsi="Times New Roman" w:cs="Times New Roman"/>
                <w:sz w:val="24"/>
                <w:szCs w:val="24"/>
              </w:rPr>
              <w:t xml:space="preserve"> во извештајниот период со континуирана консолидација, примена и надградба на ИТ-системи. Концептот на овластени економски оператори (ОЕО) беше спроведен и дополнително унапреден. Царинската управа спроведува целосно бесхартиена </w:t>
            </w:r>
            <w:r>
              <w:rPr>
                <w:rFonts w:ascii="Times New Roman" w:hAnsi="Times New Roman" w:cs="Times New Roman"/>
                <w:sz w:val="24"/>
                <w:szCs w:val="24"/>
              </w:rPr>
              <w:t>околина</w:t>
            </w:r>
            <w:r w:rsidRPr="00C9671E">
              <w:rPr>
                <w:rFonts w:ascii="Times New Roman" w:hAnsi="Times New Roman" w:cs="Times New Roman"/>
                <w:sz w:val="24"/>
                <w:szCs w:val="24"/>
              </w:rPr>
              <w:t xml:space="preserve"> за обработка на царинските декларации и акцизни документи.</w:t>
            </w:r>
          </w:p>
          <w:p w14:paraId="50B1E9F8" w14:textId="75DB5640" w:rsidR="003D4454" w:rsidRPr="00C9671E" w:rsidRDefault="003D4454" w:rsidP="006E4EB0">
            <w:pPr>
              <w:autoSpaceDE w:val="0"/>
              <w:autoSpaceDN w:val="0"/>
              <w:snapToGri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Препораките од минатата година беа делумно спроведени. Во наредната година, земјата треба: </w:t>
            </w:r>
          </w:p>
          <w:p w14:paraId="5469B392" w14:textId="77777777" w:rsidR="003D4454" w:rsidRPr="00C9671E" w:rsidRDefault="003D4454" w:rsidP="006E4EB0">
            <w:pPr>
              <w:numPr>
                <w:ilvl w:val="0"/>
                <w:numId w:val="53"/>
              </w:numPr>
              <w:autoSpaceDE w:val="0"/>
              <w:autoSpaceDN w:val="0"/>
              <w:snapToGrid w:val="0"/>
              <w:spacing w:after="120" w:line="240" w:lineRule="auto"/>
              <w:jc w:val="both"/>
              <w:rPr>
                <w:rFonts w:ascii="Times New Roman" w:hAnsi="Times New Roman" w:cs="Times New Roman"/>
                <w:b/>
                <w:sz w:val="24"/>
                <w:szCs w:val="24"/>
              </w:rPr>
            </w:pPr>
            <w:r w:rsidRPr="00C9671E">
              <w:rPr>
                <w:rFonts w:ascii="Times New Roman" w:hAnsi="Times New Roman" w:cs="Times New Roman"/>
                <w:sz w:val="24"/>
                <w:szCs w:val="24"/>
              </w:rPr>
              <w:t>да продолжи со консолидација и целосна примена на своите ИТ-системи, вклучително и со усогласување со модулите од Повеќегодишниот стратегиски план (МАСП) на Комисијата за да ја обезбеди нивната непрекината надградба и деловниот континуитет;</w:t>
            </w:r>
          </w:p>
          <w:p w14:paraId="761AD821" w14:textId="77777777" w:rsidR="003D4454" w:rsidRPr="00C9671E" w:rsidRDefault="003D4454" w:rsidP="006E4EB0">
            <w:pPr>
              <w:numPr>
                <w:ilvl w:val="0"/>
                <w:numId w:val="53"/>
              </w:numPr>
              <w:autoSpaceDE w:val="0"/>
              <w:autoSpaceDN w:val="0"/>
              <w:snapToGrid w:val="0"/>
              <w:spacing w:after="120" w:line="240" w:lineRule="auto"/>
              <w:ind w:left="357" w:hanging="357"/>
              <w:jc w:val="both"/>
              <w:rPr>
                <w:rFonts w:ascii="Times New Roman" w:hAnsi="Times New Roman" w:cs="Times New Roman"/>
                <w:b/>
                <w:bCs/>
                <w:sz w:val="24"/>
                <w:szCs w:val="24"/>
              </w:rPr>
            </w:pPr>
            <w:r w:rsidRPr="00705B41">
              <w:rPr>
                <w:rFonts w:ascii="Times New Roman" w:hAnsi="Times New Roman" w:cs="Times New Roman"/>
                <w:sz w:val="24"/>
                <w:szCs w:val="24"/>
              </w:rPr>
              <w:t>д</w:t>
            </w:r>
            <w:r w:rsidRPr="00C9671E">
              <w:rPr>
                <w:rFonts w:ascii="Times New Roman" w:hAnsi="Times New Roman" w:cs="Times New Roman"/>
                <w:sz w:val="24"/>
                <w:szCs w:val="24"/>
              </w:rPr>
              <w:t>а го ратификува Протоколот за елиминација на недозволена трговија со тутунски производи.</w:t>
            </w:r>
          </w:p>
        </w:tc>
      </w:tr>
    </w:tbl>
    <w:p w14:paraId="4D89BD23" w14:textId="4224D2A4" w:rsidR="003D4454" w:rsidRPr="00C9671E" w:rsidRDefault="003D4454" w:rsidP="006E4EB0">
      <w:pPr>
        <w:spacing w:after="120" w:line="240" w:lineRule="auto"/>
        <w:jc w:val="both"/>
        <w:rPr>
          <w:rFonts w:ascii="Times New Roman" w:hAnsi="Times New Roman" w:cs="Times New Roman"/>
          <w:sz w:val="24"/>
          <w:szCs w:val="24"/>
        </w:rPr>
      </w:pPr>
      <w:r w:rsidRPr="006E2C6F">
        <w:rPr>
          <w:rFonts w:ascii="Times New Roman" w:eastAsia="Calibri" w:hAnsi="Times New Roman" w:cs="Times New Roman"/>
          <w:sz w:val="24"/>
          <w:szCs w:val="24"/>
          <w:lang w:eastAsia="en-US"/>
        </w:rPr>
        <w:lastRenderedPageBreak/>
        <w:t xml:space="preserve">Степенот на усогласеност на </w:t>
      </w:r>
      <w:r w:rsidRPr="006E2C6F">
        <w:rPr>
          <w:rFonts w:ascii="Times New Roman" w:eastAsia="Calibri" w:hAnsi="Times New Roman" w:cs="Times New Roman"/>
          <w:b/>
          <w:bCs/>
          <w:sz w:val="24"/>
          <w:szCs w:val="24"/>
          <w:lang w:eastAsia="en-US"/>
        </w:rPr>
        <w:t>царинското законодавство</w:t>
      </w:r>
      <w:r w:rsidRPr="006E2C6F">
        <w:rPr>
          <w:rFonts w:ascii="Times New Roman" w:eastAsia="Calibri" w:hAnsi="Times New Roman" w:cs="Times New Roman"/>
          <w:sz w:val="24"/>
          <w:szCs w:val="24"/>
          <w:lang w:eastAsia="en-US"/>
        </w:rPr>
        <w:t xml:space="preserve"> со правото на ЕУ е висок</w:t>
      </w:r>
      <w:r w:rsidRPr="00C9671E">
        <w:rPr>
          <w:rFonts w:ascii="Times New Roman" w:hAnsi="Times New Roman" w:cs="Times New Roman"/>
          <w:sz w:val="24"/>
          <w:szCs w:val="24"/>
        </w:rPr>
        <w:t>.</w:t>
      </w:r>
      <w:r>
        <w:rPr>
          <w:rFonts w:ascii="Times New Roman" w:hAnsi="Times New Roman" w:cs="Times New Roman"/>
          <w:sz w:val="24"/>
          <w:szCs w:val="24"/>
        </w:rPr>
        <w:t xml:space="preserve"> </w:t>
      </w:r>
      <w:r w:rsidRPr="00A10634">
        <w:rPr>
          <w:rFonts w:ascii="Times New Roman" w:hAnsi="Times New Roman" w:cs="Times New Roman"/>
          <w:sz w:val="24"/>
          <w:szCs w:val="24"/>
        </w:rPr>
        <w:t>Царинската тарифа за 2022 година е усвоена и истата ги одразува најновите измени на Комбинираната номенклатура на ЕУ.</w:t>
      </w:r>
      <w:r w:rsidRPr="00C9671E">
        <w:rPr>
          <w:rFonts w:ascii="Times New Roman" w:hAnsi="Times New Roman" w:cs="Times New Roman"/>
          <w:sz w:val="24"/>
          <w:szCs w:val="24"/>
        </w:rPr>
        <w:t xml:space="preserve"> </w:t>
      </w:r>
      <w:r>
        <w:rPr>
          <w:rFonts w:ascii="Times New Roman" w:hAnsi="Times New Roman" w:cs="Times New Roman"/>
          <w:sz w:val="24"/>
          <w:szCs w:val="24"/>
        </w:rPr>
        <w:t>Спроведен</w:t>
      </w:r>
      <w:r w:rsidRPr="00A10634">
        <w:rPr>
          <w:rFonts w:ascii="Times New Roman" w:hAnsi="Times New Roman" w:cs="Times New Roman"/>
          <w:sz w:val="24"/>
          <w:szCs w:val="24"/>
        </w:rPr>
        <w:t xml:space="preserve"> е Дополнителниот Протокол 5 за олеснување на трговијата, а продолжи и промоцијата на концептот Овластен економски оператор (ОЕО)</w:t>
      </w:r>
      <w:r w:rsidRPr="006E2C6F">
        <w:rPr>
          <w:rFonts w:ascii="Times New Roman" w:hAnsi="Times New Roman" w:cs="Times New Roman"/>
          <w:sz w:val="24"/>
          <w:szCs w:val="24"/>
        </w:rPr>
        <w:t xml:space="preserve">. </w:t>
      </w:r>
      <w:r w:rsidRPr="00C9671E">
        <w:rPr>
          <w:rFonts w:ascii="Times New Roman" w:hAnsi="Times New Roman" w:cs="Times New Roman"/>
          <w:sz w:val="24"/>
          <w:szCs w:val="24"/>
        </w:rPr>
        <w:t>Досега 23 компании се стекнаа со уверение за овластени економски оператори (ОЕО). Во декември 2021 година беше потпишан договор за меѓусебно признавање на ОЕО со Албанија, а договорот со Србија започна да се спроведува. Северна Македонија допрва ќе го ратификува Протоколот за елиминација на недозволена трговија со тутунски производи, потпишан во 2014 година.</w:t>
      </w:r>
    </w:p>
    <w:p w14:paraId="3829B92A" w14:textId="3EEC8591"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административниот и оперативниот</w:t>
      </w:r>
      <w:r w:rsidRPr="00C9671E">
        <w:rPr>
          <w:rFonts w:ascii="Times New Roman" w:hAnsi="Times New Roman" w:cs="Times New Roman"/>
          <w:sz w:val="24"/>
          <w:szCs w:val="24"/>
        </w:rPr>
        <w:t xml:space="preserve"> </w:t>
      </w:r>
      <w:r w:rsidRPr="00C9671E">
        <w:rPr>
          <w:rFonts w:ascii="Times New Roman" w:hAnsi="Times New Roman" w:cs="Times New Roman"/>
          <w:b/>
          <w:sz w:val="24"/>
          <w:szCs w:val="24"/>
        </w:rPr>
        <w:t>капацитет</w:t>
      </w:r>
      <w:r w:rsidRPr="00C9671E">
        <w:rPr>
          <w:rFonts w:ascii="Times New Roman" w:hAnsi="Times New Roman" w:cs="Times New Roman"/>
          <w:sz w:val="24"/>
          <w:szCs w:val="24"/>
        </w:rPr>
        <w:t xml:space="preserve">, Царинската управа продолжи да ги применува стандардите за професионален интегритет и спречување корупција. Воспоставен е </w:t>
      </w:r>
      <w:r w:rsidRPr="00C9671E">
        <w:rPr>
          <w:rFonts w:ascii="Times New Roman" w:hAnsi="Times New Roman" w:cs="Times New Roman"/>
          <w:spacing w:val="-1"/>
          <w:sz w:val="24"/>
          <w:szCs w:val="24"/>
        </w:rPr>
        <w:t xml:space="preserve">сеопфатен </w:t>
      </w:r>
      <w:r>
        <w:rPr>
          <w:rFonts w:ascii="Times New Roman" w:hAnsi="Times New Roman" w:cs="Times New Roman"/>
          <w:spacing w:val="-1"/>
          <w:sz w:val="24"/>
          <w:szCs w:val="24"/>
        </w:rPr>
        <w:t xml:space="preserve">разузнавачки и информациски </w:t>
      </w:r>
      <w:r w:rsidRPr="00C9671E">
        <w:rPr>
          <w:rFonts w:ascii="Times New Roman" w:hAnsi="Times New Roman" w:cs="Times New Roman"/>
          <w:sz w:val="24"/>
          <w:szCs w:val="24"/>
        </w:rPr>
        <w:t xml:space="preserve">систем за </w:t>
      </w:r>
      <w:r w:rsidRPr="00C9671E">
        <w:rPr>
          <w:rFonts w:ascii="Times New Roman" w:hAnsi="Times New Roman" w:cs="Times New Roman"/>
          <w:spacing w:val="-1"/>
          <w:sz w:val="24"/>
          <w:szCs w:val="24"/>
        </w:rPr>
        <w:t>поддршка на</w:t>
      </w:r>
      <w:r>
        <w:rPr>
          <w:rFonts w:ascii="Times New Roman" w:hAnsi="Times New Roman" w:cs="Times New Roman"/>
          <w:spacing w:val="-1"/>
          <w:sz w:val="24"/>
          <w:szCs w:val="24"/>
        </w:rPr>
        <w:t xml:space="preserve"> контрола и </w:t>
      </w:r>
      <w:r w:rsidRPr="00C9671E">
        <w:rPr>
          <w:rFonts w:ascii="Times New Roman" w:hAnsi="Times New Roman" w:cs="Times New Roman"/>
          <w:spacing w:val="-1"/>
          <w:sz w:val="24"/>
          <w:szCs w:val="24"/>
        </w:rPr>
        <w:t>истраги</w:t>
      </w:r>
      <w:r w:rsidRPr="00C9671E">
        <w:rPr>
          <w:rFonts w:ascii="Times New Roman" w:hAnsi="Times New Roman" w:cs="Times New Roman"/>
          <w:sz w:val="24"/>
          <w:szCs w:val="24"/>
        </w:rPr>
        <w:t>. Управувањето со ризи</w:t>
      </w:r>
      <w:r>
        <w:rPr>
          <w:rFonts w:ascii="Times New Roman" w:hAnsi="Times New Roman" w:cs="Times New Roman"/>
          <w:sz w:val="24"/>
          <w:szCs w:val="24"/>
        </w:rPr>
        <w:t>к</w:t>
      </w:r>
      <w:r w:rsidRPr="00C9671E">
        <w:rPr>
          <w:rFonts w:ascii="Times New Roman" w:hAnsi="Times New Roman" w:cs="Times New Roman"/>
          <w:sz w:val="24"/>
          <w:szCs w:val="24"/>
        </w:rPr>
        <w:t xml:space="preserve"> се применува систематски со процент на физичка контрола </w:t>
      </w:r>
      <w:r>
        <w:rPr>
          <w:rFonts w:ascii="Times New Roman" w:hAnsi="Times New Roman" w:cs="Times New Roman"/>
          <w:sz w:val="24"/>
          <w:szCs w:val="24"/>
        </w:rPr>
        <w:t>од</w:t>
      </w:r>
      <w:r w:rsidRPr="00C9671E">
        <w:rPr>
          <w:rFonts w:ascii="Times New Roman" w:hAnsi="Times New Roman" w:cs="Times New Roman"/>
          <w:sz w:val="24"/>
          <w:szCs w:val="24"/>
        </w:rPr>
        <w:t xml:space="preserve"> 6,3% и документарни контроли кои сочинуваат 18% од сите испораки во 2021 година. Се спроведува регионалната стратегија за управување со ризици ЦЕФТА 2020-24 година. Договорот за воспоставување заеднички гранични контроли со Албанија беше ратификуван во декември 2021 година. Се донесе нова Стратегија за развој на ИКТ за 2021-2025 година со цел да обезбеди координиран и навремен развој и спроведување на националните системи со</w:t>
      </w:r>
      <w:r>
        <w:rPr>
          <w:rFonts w:ascii="Times New Roman" w:hAnsi="Times New Roman" w:cs="Times New Roman"/>
          <w:sz w:val="24"/>
          <w:szCs w:val="24"/>
        </w:rPr>
        <w:t xml:space="preserve"> оние</w:t>
      </w:r>
      <w:r w:rsidRPr="00C9671E">
        <w:rPr>
          <w:rFonts w:ascii="Times New Roman" w:hAnsi="Times New Roman" w:cs="Times New Roman"/>
          <w:sz w:val="24"/>
          <w:szCs w:val="24"/>
        </w:rPr>
        <w:t xml:space="preserve"> на ЕУ. Системот за електронска размена на податоци (SEED+) е оперативен со што се овозможува усогласена работа на агенциите присутни на границите, електронска размена на податоци и поголема транспарентност.</w:t>
      </w:r>
    </w:p>
    <w:p w14:paraId="33B144BE" w14:textId="12CCE79E" w:rsidR="003D4454" w:rsidRPr="00C9671E" w:rsidRDefault="003D4454" w:rsidP="006E4EB0">
      <w:pPr>
        <w:snapToGri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Беше основана гранична меѓуагенциска единица (AIRCOP) на скопскиот аеродром чија цел беше да се подобрат капацитетите за гранична контрола, особено за високоризични патници и воздушен багаж.</w:t>
      </w:r>
    </w:p>
    <w:p w14:paraId="32A7079D"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Царинската управа учествуваше во три меѓународни операции и во голем број проекти во соработка со Европол и со Светската царинска организација (СЦО) за справување со недозволена трговија со дрога, фалсификувани стоки, лекови, медицински средства и заштитна опрема, оружје, експлозиви, опасен отпад, културни добра и тутунски производи. Учествуваше во операцијата </w:t>
      </w:r>
      <w:r w:rsidRPr="00C9671E">
        <w:rPr>
          <w:rFonts w:ascii="Times New Roman" w:hAnsi="Times New Roman" w:cs="Times New Roman"/>
          <w:sz w:val="24"/>
          <w:szCs w:val="24"/>
          <w:cs/>
        </w:rPr>
        <w:t>„</w:t>
      </w:r>
      <w:r w:rsidRPr="00C9671E">
        <w:rPr>
          <w:rFonts w:ascii="Times New Roman" w:hAnsi="Times New Roman" w:cs="Times New Roman"/>
          <w:spacing w:val="-2"/>
          <w:sz w:val="24"/>
          <w:szCs w:val="24"/>
        </w:rPr>
        <w:t>STOP II</w:t>
      </w:r>
      <w:r w:rsidRPr="00C9671E">
        <w:rPr>
          <w:rFonts w:ascii="Times New Roman" w:hAnsi="Times New Roman" w:cs="Times New Roman"/>
          <w:spacing w:val="-2"/>
          <w:sz w:val="24"/>
          <w:szCs w:val="24"/>
          <w:cs/>
        </w:rPr>
        <w:t xml:space="preserve">“ </w:t>
      </w:r>
      <w:r w:rsidRPr="00C9671E">
        <w:rPr>
          <w:rFonts w:ascii="Times New Roman" w:hAnsi="Times New Roman" w:cs="Times New Roman"/>
          <w:spacing w:val="-2"/>
          <w:sz w:val="24"/>
          <w:szCs w:val="24"/>
        </w:rPr>
        <w:t xml:space="preserve">предводена од СЦО, чија цел беше спречување увоз, извоз и транзит на фалсификувани вакцини и медицинска опрема за борба против КОВИД-19. </w:t>
      </w:r>
      <w:r w:rsidRPr="00C9671E">
        <w:rPr>
          <w:rFonts w:ascii="Times New Roman" w:hAnsi="Times New Roman" w:cs="Times New Roman"/>
          <w:sz w:val="24"/>
          <w:szCs w:val="24"/>
        </w:rPr>
        <w:t>Продолжува соработката и размената на информации со царинските агенции од поширокиот регион и со меѓународните и регионалните организации.</w:t>
      </w:r>
    </w:p>
    <w:p w14:paraId="4CDBDCAA" w14:textId="59DE4701" w:rsidR="003D4454" w:rsidRPr="00C9671E" w:rsidRDefault="003D4454" w:rsidP="006E4EB0">
      <w:pPr>
        <w:pStyle w:val="Heading2"/>
      </w:pPr>
      <w:bookmarkStart w:id="242" w:name="_Toc84329798"/>
      <w:bookmarkStart w:id="243" w:name="_Toc84631600"/>
      <w:bookmarkStart w:id="244" w:name="_Toc115619810"/>
      <w:bookmarkStart w:id="245" w:name="_Toc117004181"/>
      <w:bookmarkStart w:id="246" w:name="_Toc9430363"/>
      <w:bookmarkStart w:id="247" w:name="_Toc51252786"/>
      <w:r w:rsidRPr="00C9671E">
        <w:lastRenderedPageBreak/>
        <w:t>Кластер 4: Зелената агенда и одржливa поврзаност</w:t>
      </w:r>
      <w:bookmarkEnd w:id="242"/>
      <w:bookmarkEnd w:id="243"/>
      <w:bookmarkEnd w:id="244"/>
      <w:bookmarkEnd w:id="245"/>
    </w:p>
    <w:p w14:paraId="29AD3C4D" w14:textId="3F56CA74"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bookmarkStart w:id="248" w:name="_Toc84329799"/>
      <w:bookmarkStart w:id="249" w:name="_Toc84631601"/>
      <w:r w:rsidRPr="00C9671E">
        <w:rPr>
          <w:rFonts w:ascii="Times New Roman" w:hAnsi="Times New Roman" w:cs="Times New Roman"/>
          <w:sz w:val="24"/>
          <w:szCs w:val="24"/>
        </w:rPr>
        <w:t>Кластерот за Зелена агенда и одржлива поврзаност опфаќа: транспортна политика (поглавје 14), енергетика (поглавје 15); транс</w:t>
      </w:r>
      <w:r>
        <w:rPr>
          <w:rFonts w:ascii="Times New Roman" w:hAnsi="Times New Roman" w:cs="Times New Roman"/>
          <w:sz w:val="24"/>
          <w:szCs w:val="24"/>
        </w:rPr>
        <w:t>-</w:t>
      </w:r>
      <w:r w:rsidRPr="00C9671E">
        <w:rPr>
          <w:rFonts w:ascii="Times New Roman" w:hAnsi="Times New Roman" w:cs="Times New Roman"/>
          <w:sz w:val="24"/>
          <w:szCs w:val="24"/>
        </w:rPr>
        <w:t>европски мрежи (поглавје 21); животна средина и климатски промени (поглавје 27). Северна Македонија има добро ниво на подготвеност во однос на транс</w:t>
      </w:r>
      <w:r>
        <w:rPr>
          <w:rFonts w:ascii="Times New Roman" w:hAnsi="Times New Roman" w:cs="Times New Roman"/>
          <w:sz w:val="24"/>
          <w:szCs w:val="24"/>
        </w:rPr>
        <w:t>-</w:t>
      </w:r>
      <w:r w:rsidRPr="00C9671E">
        <w:rPr>
          <w:rFonts w:ascii="Times New Roman" w:hAnsi="Times New Roman" w:cs="Times New Roman"/>
          <w:sz w:val="24"/>
          <w:szCs w:val="24"/>
        </w:rPr>
        <w:t>европските мрежи. Земјата е умерено подготвена за транспортна политика и енергетика и има одредено ниво на подготвеност во однос на животната средина и климатските промени. Беше постигнат одреден напредок во областите на животната средина и климатските промени. Потребни се значителни напори во областите каде што имаше ограничен напредок, како што се секторите за енергетика, транспортна политика и транс</w:t>
      </w:r>
      <w:r>
        <w:rPr>
          <w:rFonts w:ascii="Times New Roman" w:hAnsi="Times New Roman" w:cs="Times New Roman"/>
          <w:sz w:val="24"/>
          <w:szCs w:val="24"/>
        </w:rPr>
        <w:t>-</w:t>
      </w:r>
      <w:r w:rsidRPr="00C9671E">
        <w:rPr>
          <w:rFonts w:ascii="Times New Roman" w:hAnsi="Times New Roman" w:cs="Times New Roman"/>
          <w:sz w:val="24"/>
          <w:szCs w:val="24"/>
        </w:rPr>
        <w:t>европски мрежи. Земјата треба да го забрза спроведувањето на економскиот и инвестицискиот план и на Зелената агенда за земјите од Западен Балкан во претстојниот период.</w:t>
      </w:r>
    </w:p>
    <w:p w14:paraId="75EF27F1" w14:textId="77777777" w:rsidR="003D4454" w:rsidRPr="00C9671E" w:rsidRDefault="003D4454" w:rsidP="006E4EB0">
      <w:pPr>
        <w:pStyle w:val="Heading3"/>
      </w:pPr>
      <w:bookmarkStart w:id="250" w:name="_Toc115619811"/>
      <w:bookmarkStart w:id="251" w:name="_Toc117004182"/>
      <w:r w:rsidRPr="00C9671E">
        <w:t>Поглавје 14: Транспортна политика</w:t>
      </w:r>
      <w:bookmarkEnd w:id="246"/>
      <w:bookmarkEnd w:id="247"/>
      <w:bookmarkEnd w:id="248"/>
      <w:bookmarkEnd w:id="249"/>
      <w:bookmarkEnd w:id="250"/>
      <w:bookmarkEnd w:id="251"/>
    </w:p>
    <w:p w14:paraId="72DC3DD0" w14:textId="77777777" w:rsidR="003D4454" w:rsidRPr="00C9671E" w:rsidRDefault="003D4454" w:rsidP="006E4EB0">
      <w:pPr>
        <w:spacing w:after="120" w:line="240" w:lineRule="auto"/>
        <w:ind w:right="-46"/>
        <w:jc w:val="both"/>
        <w:rPr>
          <w:rFonts w:ascii="Times New Roman" w:eastAsia="Times New Roman" w:hAnsi="Times New Roman" w:cs="Times New Roman"/>
          <w:i/>
          <w:sz w:val="24"/>
          <w:szCs w:val="24"/>
        </w:rPr>
      </w:pPr>
      <w:r w:rsidRPr="00C9671E">
        <w:rPr>
          <w:rFonts w:ascii="Times New Roman" w:hAnsi="Times New Roman" w:cs="Times New Roman"/>
          <w:i/>
          <w:sz w:val="24"/>
          <w:szCs w:val="24"/>
        </w:rPr>
        <w:t>ЕУ има заеднички правила за техничките и безбедносните стандарди, безбедноста, социјалните стандарди, државната помош и пазарната либерализација во патниот сообраќај, железничкиот сообраќај, внатрешниот воден сообраќај, комбинираниот сообраќај, воздухопловството и поморскиот сообраќај.</w:t>
      </w:r>
    </w:p>
    <w:p w14:paraId="063C38BF" w14:textId="524BDE72"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транспортот, Северна Македонија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периодот на известување беше постигнат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Во секторот за транспорт сѐ уште недостасува административен и оперативен капацитет. Сѐ уште нема политичка посветеност во испорачувањето на потребните реформи во секторот.</w:t>
      </w:r>
    </w:p>
    <w:p w14:paraId="4F59A551" w14:textId="43A1A41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Бидејќи препораките од минатата година не беа целосно спроведени, нивната важност трае и оваа година. Во наредната година, Северна Македонија треба особено:</w:t>
      </w:r>
    </w:p>
    <w:p w14:paraId="3D27FB87" w14:textId="77777777" w:rsidR="003D4454" w:rsidRPr="00C9671E" w:rsidRDefault="003D4454" w:rsidP="006E4EB0">
      <w:pPr>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го зајакне оперативниот и административниот капацитет на инспекциските тела и да го развие капацитетот за спроведување заради намалување на жртвите во патната и железничката инфраструктура;</w:t>
      </w:r>
    </w:p>
    <w:p w14:paraId="41E9417C" w14:textId="25D8A043" w:rsidR="003D4454" w:rsidRPr="00C9671E" w:rsidRDefault="003D4454" w:rsidP="006E4EB0">
      <w:pPr>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да ги спроведе реформските мерки за поврзаност на железничкиот сообраќај и да го отвори пазарот на железничкиот транспорт, да го измени и дополни националното </w:t>
      </w:r>
      <w:r>
        <w:rPr>
          <w:rFonts w:ascii="Times New Roman" w:hAnsi="Times New Roman" w:cs="Times New Roman"/>
          <w:sz w:val="24"/>
          <w:szCs w:val="24"/>
        </w:rPr>
        <w:t>законодавство</w:t>
      </w:r>
      <w:r w:rsidRPr="00C9671E">
        <w:rPr>
          <w:rFonts w:ascii="Times New Roman" w:hAnsi="Times New Roman" w:cs="Times New Roman"/>
          <w:sz w:val="24"/>
          <w:szCs w:val="24"/>
        </w:rPr>
        <w:t xml:space="preserve"> со цел да ги отстрани прекрш</w:t>
      </w:r>
      <w:r>
        <w:rPr>
          <w:rFonts w:ascii="Times New Roman" w:hAnsi="Times New Roman" w:cs="Times New Roman"/>
          <w:sz w:val="24"/>
          <w:szCs w:val="24"/>
        </w:rPr>
        <w:t>увањата</w:t>
      </w:r>
      <w:r w:rsidRPr="00C9671E">
        <w:rPr>
          <w:rFonts w:ascii="Times New Roman" w:hAnsi="Times New Roman" w:cs="Times New Roman"/>
          <w:sz w:val="24"/>
          <w:szCs w:val="24"/>
        </w:rPr>
        <w:t xml:space="preserve"> на одредбите од Договорот за транспортна заедница настанати во однос на отворањето на пазарот на железничкиот транспорт, да воспостави национален систем за континуирано собирање податоци за сообраќајни несреќи и да ги финализира договорите/протоколите за граничен премин што се во тек;</w:t>
      </w:r>
    </w:p>
    <w:p w14:paraId="2C820AEA" w14:textId="77777777" w:rsidR="003D4454" w:rsidRPr="00C9671E" w:rsidRDefault="003D4454" w:rsidP="006E4EB0">
      <w:pPr>
        <w:numPr>
          <w:ilvl w:val="0"/>
          <w:numId w:val="54"/>
        </w:num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донесе законодавство за интелигентни транспортни системи (ИТС) и за комбиниран транспорт и да вложи дополнителни напори за создавање стратегиска рамка за спроведување на ИТС и на основните мрежи.</w:t>
      </w:r>
    </w:p>
    <w:p w14:paraId="13E976D2" w14:textId="0288F606" w:rsidR="003D4454" w:rsidRPr="00C9671E" w:rsidRDefault="003D4454" w:rsidP="006E4EB0">
      <w:pPr>
        <w:spacing w:after="120" w:line="240" w:lineRule="auto"/>
        <w:ind w:right="-46"/>
        <w:jc w:val="both"/>
        <w:rPr>
          <w:rFonts w:ascii="Times New Roman" w:hAnsi="Times New Roman" w:cs="Times New Roman"/>
          <w:sz w:val="24"/>
          <w:szCs w:val="24"/>
        </w:rPr>
      </w:pPr>
      <w:bookmarkStart w:id="252" w:name="page67"/>
      <w:bookmarkEnd w:id="252"/>
      <w:r w:rsidRPr="00C9671E">
        <w:rPr>
          <w:rFonts w:ascii="Times New Roman" w:hAnsi="Times New Roman" w:cs="Times New Roman"/>
          <w:sz w:val="24"/>
          <w:szCs w:val="24"/>
        </w:rPr>
        <w:t xml:space="preserve">Во однос на </w:t>
      </w:r>
      <w:r w:rsidRPr="00C9671E">
        <w:rPr>
          <w:rFonts w:ascii="Times New Roman" w:hAnsi="Times New Roman" w:cs="Times New Roman"/>
          <w:bCs/>
          <w:sz w:val="24"/>
          <w:szCs w:val="24"/>
        </w:rPr>
        <w:t>општото</w:t>
      </w:r>
      <w:r w:rsidRPr="00C9671E">
        <w:rPr>
          <w:rFonts w:ascii="Times New Roman" w:hAnsi="Times New Roman" w:cs="Times New Roman"/>
          <w:b/>
          <w:sz w:val="24"/>
          <w:szCs w:val="24"/>
        </w:rPr>
        <w:t xml:space="preserve"> </w:t>
      </w:r>
      <w:r w:rsidRPr="00C9671E">
        <w:rPr>
          <w:rFonts w:ascii="Times New Roman" w:hAnsi="Times New Roman" w:cs="Times New Roman"/>
          <w:bCs/>
          <w:i/>
          <w:iCs/>
          <w:sz w:val="24"/>
          <w:szCs w:val="24"/>
        </w:rPr>
        <w:t>право на ЕУ</w:t>
      </w:r>
      <w:r w:rsidRPr="00C9671E">
        <w:rPr>
          <w:rFonts w:ascii="Times New Roman" w:hAnsi="Times New Roman" w:cs="Times New Roman"/>
          <w:sz w:val="24"/>
          <w:szCs w:val="24"/>
        </w:rPr>
        <w:t xml:space="preserve"> </w:t>
      </w:r>
      <w:r w:rsidRPr="00C9671E">
        <w:rPr>
          <w:rFonts w:ascii="Times New Roman" w:hAnsi="Times New Roman" w:cs="Times New Roman"/>
          <w:b/>
          <w:bCs/>
          <w:sz w:val="24"/>
          <w:szCs w:val="24"/>
        </w:rPr>
        <w:t>за транспорт</w:t>
      </w:r>
      <w:r w:rsidRPr="00C9671E">
        <w:rPr>
          <w:rFonts w:ascii="Times New Roman" w:hAnsi="Times New Roman" w:cs="Times New Roman"/>
          <w:sz w:val="24"/>
          <w:szCs w:val="24"/>
        </w:rPr>
        <w:t xml:space="preserve">, клучните стратегиски документи за транспорт и неговите потсектори се веќе воспоставени. Немаше напредок во развојот на акциски план што ќе ја придружува Национална транспортна стратегија за 2018-2030 година. Оперативните и административните капацитети за сите видови транспорт остануваат слаби и потребно е итно да се зајакнат. Оваа состојба го спречува правилното спроведување на Зелената агенда за земјите од Западен Балкан во областа на транспортот и преминувањето кон начини на превоз кои предизвикуваат помало загадување. Законот за истраги на воздухопловни и железнички несреќи не се спроведува целосно. Сѐ уште не е формирано независно тело за истрага на железнички несреќи. Потребен е континуиран напредок за усогласување со Директивата за </w:t>
      </w:r>
      <w:r w:rsidRPr="00C9671E">
        <w:rPr>
          <w:rFonts w:ascii="Times New Roman" w:hAnsi="Times New Roman" w:cs="Times New Roman"/>
          <w:sz w:val="24"/>
          <w:szCs w:val="24"/>
        </w:rPr>
        <w:lastRenderedPageBreak/>
        <w:t>интелигентни транспортни системи (ИТС) и за воведување релевантни национални закони. Сѐ уште недостасува стратегија за ИТС со придружни ресурси.</w:t>
      </w:r>
    </w:p>
    <w:p w14:paraId="1339BC67" w14:textId="5E52B1CF" w:rsidR="003D4454" w:rsidRPr="00C9671E" w:rsidRDefault="003D4454" w:rsidP="006E4EB0">
      <w:pPr>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Законската рамка за </w:t>
      </w:r>
      <w:r w:rsidRPr="00C9671E">
        <w:rPr>
          <w:rFonts w:ascii="Times New Roman" w:hAnsi="Times New Roman" w:cs="Times New Roman"/>
          <w:b/>
          <w:sz w:val="24"/>
          <w:szCs w:val="24"/>
        </w:rPr>
        <w:t>патен транспорт</w:t>
      </w:r>
      <w:r w:rsidRPr="00C9671E">
        <w:rPr>
          <w:rFonts w:ascii="Times New Roman" w:hAnsi="Times New Roman" w:cs="Times New Roman"/>
          <w:sz w:val="24"/>
          <w:szCs w:val="24"/>
        </w:rPr>
        <w:t xml:space="preserve"> е во голема мера усогласена со правото на ЕУ, меѓутоа не е во чекор со измените во правото на ЕУ.</w:t>
      </w:r>
      <w:r w:rsidRPr="00C9671E">
        <w:rPr>
          <w:rFonts w:ascii="Times New Roman" w:hAnsi="Times New Roman" w:cs="Times New Roman"/>
          <w:i/>
          <w:sz w:val="24"/>
          <w:szCs w:val="24"/>
        </w:rPr>
        <w:t xml:space="preserve"> </w:t>
      </w:r>
      <w:r w:rsidRPr="00C9671E">
        <w:rPr>
          <w:rFonts w:ascii="Times New Roman" w:hAnsi="Times New Roman" w:cs="Times New Roman"/>
          <w:sz w:val="24"/>
          <w:szCs w:val="24"/>
        </w:rPr>
        <w:t>Законодавството за опасни</w:t>
      </w:r>
      <w:r>
        <w:rPr>
          <w:rFonts w:ascii="Times New Roman" w:hAnsi="Times New Roman" w:cs="Times New Roman"/>
          <w:sz w:val="24"/>
          <w:szCs w:val="24"/>
        </w:rPr>
        <w:t xml:space="preserve"> материи</w:t>
      </w:r>
      <w:r w:rsidRPr="00C9671E">
        <w:rPr>
          <w:rFonts w:ascii="Times New Roman" w:hAnsi="Times New Roman" w:cs="Times New Roman"/>
          <w:sz w:val="24"/>
          <w:szCs w:val="24"/>
        </w:rPr>
        <w:t xml:space="preserve"> е усогласено со правото на ЕУ, но сѐ уште не е постигнат напредок во процената на сообразноста на постојната опрема за транспорт на опасни </w:t>
      </w:r>
      <w:r>
        <w:rPr>
          <w:rFonts w:ascii="Times New Roman" w:hAnsi="Times New Roman" w:cs="Times New Roman"/>
          <w:sz w:val="24"/>
          <w:szCs w:val="24"/>
        </w:rPr>
        <w:t>материи</w:t>
      </w:r>
      <w:r w:rsidRPr="00C9671E">
        <w:rPr>
          <w:rFonts w:ascii="Times New Roman" w:hAnsi="Times New Roman" w:cs="Times New Roman"/>
          <w:sz w:val="24"/>
          <w:szCs w:val="24"/>
        </w:rPr>
        <w:t>. Не е постигнат напредок во однос на формирање извршно тело за безбедност во патниот сообраќај. Допрва треба да се донесе Законот за основање на Агенцијата за безбедност на сообраќајот на патиштата. Потребни се дополнителни напори за усогласување со правото на ЕУ во областа на социјалната заштита и безбедноста. Сѐ уште има потреба од воспоставување национален истражен орган со акциски планови за проверка на безбедноста на патиштата по кој треба да се спроведе ревизија. Не е постигнат напредок во зајакнување на спроведувањето и на техничките капацитети на Државниот инспекторат за транспорт. Потребно е дополнително усогласување за казните за непочитување на Европскиот договор за работа на екипажите на возилата што вршат меѓународен патен транспорт (AETR). Одобрувањето на Петгодишниот план за одржување на патиштата и железницата е дополнително одложено и одржувањето на патиштата и понатаму се спроведува неефикасно.</w:t>
      </w:r>
      <w:r>
        <w:rPr>
          <w:rFonts w:ascii="Times New Roman" w:hAnsi="Times New Roman" w:cs="Times New Roman"/>
          <w:sz w:val="24"/>
          <w:szCs w:val="24"/>
        </w:rPr>
        <w:t xml:space="preserve"> </w:t>
      </w:r>
      <w:r w:rsidRPr="00C9671E">
        <w:rPr>
          <w:rFonts w:ascii="Times New Roman" w:hAnsi="Times New Roman" w:cs="Times New Roman"/>
          <w:sz w:val="24"/>
          <w:szCs w:val="24"/>
        </w:rPr>
        <w:t xml:space="preserve">Законодавството за возила за патен транспорт </w:t>
      </w:r>
      <w:r>
        <w:rPr>
          <w:rFonts w:ascii="Times New Roman" w:hAnsi="Times New Roman" w:cs="Times New Roman"/>
          <w:sz w:val="24"/>
          <w:szCs w:val="24"/>
        </w:rPr>
        <w:t xml:space="preserve">кои користат </w:t>
      </w:r>
      <w:r w:rsidRPr="00C9671E">
        <w:rPr>
          <w:rFonts w:ascii="Times New Roman" w:hAnsi="Times New Roman" w:cs="Times New Roman"/>
          <w:sz w:val="24"/>
          <w:szCs w:val="24"/>
        </w:rPr>
        <w:t xml:space="preserve">чиста енергија и </w:t>
      </w:r>
      <w:r>
        <w:rPr>
          <w:rFonts w:ascii="Times New Roman" w:hAnsi="Times New Roman" w:cs="Times New Roman"/>
          <w:sz w:val="24"/>
          <w:szCs w:val="24"/>
        </w:rPr>
        <w:t xml:space="preserve">се </w:t>
      </w:r>
      <w:r w:rsidRPr="00C9671E">
        <w:rPr>
          <w:rFonts w:ascii="Times New Roman" w:hAnsi="Times New Roman" w:cs="Times New Roman"/>
          <w:sz w:val="24"/>
          <w:szCs w:val="24"/>
        </w:rPr>
        <w:t xml:space="preserve">енергетски ефикасни и </w:t>
      </w:r>
      <w:r>
        <w:rPr>
          <w:rFonts w:ascii="Times New Roman" w:hAnsi="Times New Roman" w:cs="Times New Roman"/>
          <w:sz w:val="24"/>
          <w:szCs w:val="24"/>
        </w:rPr>
        <w:t xml:space="preserve">законодавството за </w:t>
      </w:r>
      <w:r w:rsidRPr="00C9671E">
        <w:rPr>
          <w:rFonts w:ascii="Times New Roman" w:hAnsi="Times New Roman" w:cs="Times New Roman"/>
          <w:sz w:val="24"/>
          <w:szCs w:val="24"/>
        </w:rPr>
        <w:t>интелигентните транспортни системи не е во согласност со правото на ЕУ.</w:t>
      </w:r>
    </w:p>
    <w:p w14:paraId="1C97243F" w14:textId="568A2C26" w:rsidR="003D4454" w:rsidRPr="00C9671E" w:rsidRDefault="003D4454" w:rsidP="006E4EB0">
      <w:pPr>
        <w:spacing w:after="120" w:line="240" w:lineRule="auto"/>
        <w:ind w:right="-46"/>
        <w:jc w:val="both"/>
        <w:rPr>
          <w:rFonts w:ascii="Times New Roman" w:hAnsi="Times New Roman" w:cs="Times New Roman"/>
          <w:b/>
          <w:bCs/>
          <w:i/>
          <w:iCs/>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железничкиот транспорт</w:t>
      </w:r>
      <w:r w:rsidRPr="00C9671E">
        <w:rPr>
          <w:rFonts w:ascii="Times New Roman" w:hAnsi="Times New Roman" w:cs="Times New Roman"/>
          <w:sz w:val="24"/>
          <w:szCs w:val="24"/>
        </w:rPr>
        <w:t xml:space="preserve">, исполнети се главните услови на правото на ЕУ, односно </w:t>
      </w:r>
      <w:r>
        <w:rPr>
          <w:rFonts w:ascii="Times New Roman" w:hAnsi="Times New Roman" w:cs="Times New Roman"/>
          <w:sz w:val="24"/>
          <w:szCs w:val="24"/>
        </w:rPr>
        <w:t xml:space="preserve">раздвојување на </w:t>
      </w:r>
      <w:r w:rsidRPr="00C9671E">
        <w:rPr>
          <w:rFonts w:ascii="Times New Roman" w:hAnsi="Times New Roman" w:cs="Times New Roman"/>
          <w:sz w:val="24"/>
          <w:szCs w:val="24"/>
        </w:rPr>
        <w:t>управ</w:t>
      </w:r>
      <w:r>
        <w:rPr>
          <w:rFonts w:ascii="Times New Roman" w:hAnsi="Times New Roman" w:cs="Times New Roman"/>
          <w:sz w:val="24"/>
          <w:szCs w:val="24"/>
        </w:rPr>
        <w:t>ителот</w:t>
      </w:r>
      <w:r w:rsidRPr="00C9671E">
        <w:rPr>
          <w:rFonts w:ascii="Times New Roman" w:hAnsi="Times New Roman" w:cs="Times New Roman"/>
          <w:sz w:val="24"/>
          <w:szCs w:val="24"/>
        </w:rPr>
        <w:t xml:space="preserve"> </w:t>
      </w:r>
      <w:r>
        <w:rPr>
          <w:rFonts w:ascii="Times New Roman" w:hAnsi="Times New Roman" w:cs="Times New Roman"/>
          <w:sz w:val="24"/>
          <w:szCs w:val="24"/>
        </w:rPr>
        <w:t>на</w:t>
      </w:r>
      <w:r w:rsidRPr="00C9671E">
        <w:rPr>
          <w:rFonts w:ascii="Times New Roman" w:hAnsi="Times New Roman" w:cs="Times New Roman"/>
          <w:sz w:val="24"/>
          <w:szCs w:val="24"/>
        </w:rPr>
        <w:t xml:space="preserve"> инфраструктура </w:t>
      </w:r>
      <w:r>
        <w:rPr>
          <w:rFonts w:ascii="Times New Roman" w:hAnsi="Times New Roman" w:cs="Times New Roman"/>
          <w:sz w:val="24"/>
          <w:szCs w:val="24"/>
        </w:rPr>
        <w:t xml:space="preserve">и </w:t>
      </w:r>
      <w:r w:rsidRPr="00C9671E">
        <w:rPr>
          <w:rFonts w:ascii="Times New Roman" w:hAnsi="Times New Roman" w:cs="Times New Roman"/>
          <w:sz w:val="24"/>
          <w:szCs w:val="24"/>
        </w:rPr>
        <w:t xml:space="preserve">државниот оператор. Новиот железнички систем е воспоставен и донесен. Во железничкиот сектор нема напредок во процесот на одлучување за идните патнички и товарни операции. Понатамошното усогласување со големи делови од правото на ЕУ за Единствената европска железничка област е одложено. Северна Македонија треба да го измени законодавството со цел да ги отстрани прекршувањата на одредбите од Договорот за транспортна заедница во однос на отворање на железничкиот пазар на национално ниво. Железничкиот пазар кон Коридорот Ориент-Источен Медитеран останува затворен. Законодавството за безбедност на железниците и интероперабилност е донесено, но не се спроведува соодветно. Потребно е зајакнување на оперативните капацитети </w:t>
      </w:r>
      <w:r>
        <w:rPr>
          <w:rFonts w:ascii="Times New Roman" w:hAnsi="Times New Roman" w:cs="Times New Roman"/>
          <w:sz w:val="24"/>
          <w:szCs w:val="24"/>
        </w:rPr>
        <w:t xml:space="preserve">на Директоратот </w:t>
      </w:r>
      <w:r w:rsidRPr="00C9671E">
        <w:rPr>
          <w:rFonts w:ascii="Times New Roman" w:hAnsi="Times New Roman" w:cs="Times New Roman"/>
          <w:sz w:val="24"/>
          <w:szCs w:val="24"/>
        </w:rPr>
        <w:t xml:space="preserve">за железничка безбедност. Нема напредок во формирањето орган за истраги и несреќи. Договорот за прекугранична железничка соработка со Грција не е потпишан, додека договорите со Косово за заедничка контрола на граничниот премин за железнички сообраќај беа спроведени. Беше постигнат одреден напредок во регионалната соработка со потпишувањето на меморандумот за разбирање со </w:t>
      </w:r>
      <w:r>
        <w:rPr>
          <w:rFonts w:ascii="Times New Roman" w:hAnsi="Times New Roman" w:cs="Times New Roman"/>
          <w:sz w:val="24"/>
          <w:szCs w:val="24"/>
        </w:rPr>
        <w:t xml:space="preserve">управителите </w:t>
      </w:r>
      <w:r w:rsidRPr="00C9671E">
        <w:rPr>
          <w:rFonts w:ascii="Times New Roman" w:hAnsi="Times New Roman" w:cs="Times New Roman"/>
          <w:sz w:val="24"/>
          <w:szCs w:val="24"/>
        </w:rPr>
        <w:t>на инфраструктурата за земјите од Западен Балкан и со Декларација за железници на ниво на министерството.</w:t>
      </w:r>
    </w:p>
    <w:p w14:paraId="6D56494B" w14:textId="77777777" w:rsidR="003D4454" w:rsidRPr="00C9671E" w:rsidRDefault="003D4454" w:rsidP="006E4EB0">
      <w:pPr>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поморскиот транспорт</w:t>
      </w:r>
      <w:r w:rsidRPr="00C9671E">
        <w:rPr>
          <w:rFonts w:ascii="Times New Roman" w:hAnsi="Times New Roman" w:cs="Times New Roman"/>
          <w:sz w:val="24"/>
          <w:szCs w:val="24"/>
        </w:rPr>
        <w:t>, земјата продолжува да учествува во сите основни транспортни конвенции на Меѓународната поморска организација, вклучително и на Европската агенција за поморска безбедност (EMSA).</w:t>
      </w:r>
    </w:p>
    <w:p w14:paraId="2246BC3B" w14:textId="699709F4" w:rsidR="003D4454" w:rsidRPr="00C9671E" w:rsidRDefault="003D4454" w:rsidP="006E4EB0">
      <w:pPr>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Во областа на </w:t>
      </w:r>
      <w:r w:rsidRPr="00C9671E">
        <w:rPr>
          <w:rFonts w:ascii="Times New Roman" w:hAnsi="Times New Roman" w:cs="Times New Roman"/>
          <w:b/>
          <w:sz w:val="24"/>
          <w:szCs w:val="24"/>
        </w:rPr>
        <w:t>внатрешниот воден транспорт</w:t>
      </w:r>
      <w:r w:rsidRPr="00C9671E">
        <w:rPr>
          <w:rFonts w:ascii="Times New Roman" w:hAnsi="Times New Roman" w:cs="Times New Roman"/>
          <w:sz w:val="24"/>
          <w:szCs w:val="24"/>
        </w:rPr>
        <w:t>, Северна Македонија е усогласена со поголемиот дел од правото на ЕУ, освен со Регулативата за признавање сертифика</w:t>
      </w:r>
      <w:r>
        <w:rPr>
          <w:rFonts w:ascii="Times New Roman" w:hAnsi="Times New Roman" w:cs="Times New Roman"/>
          <w:sz w:val="24"/>
          <w:szCs w:val="24"/>
        </w:rPr>
        <w:t>ти</w:t>
      </w:r>
      <w:r w:rsidRPr="00C9671E">
        <w:rPr>
          <w:rFonts w:ascii="Times New Roman" w:hAnsi="Times New Roman" w:cs="Times New Roman"/>
          <w:sz w:val="24"/>
          <w:szCs w:val="24"/>
        </w:rPr>
        <w:t xml:space="preserve"> и превоз на стоки и патници. Не постои закон за трговска испорака, бидејќи не се превезуваат стоки по внатрешните водни патишта. Земјата продолжува активно да учествува во Меѓународната комисија за сливот на реката Сава, но не и во Стратегијата на ЕУ за развој на Дунавскиот Регион. Потребни се повеќе напори во усогласувањето </w:t>
      </w:r>
      <w:r>
        <w:rPr>
          <w:rFonts w:ascii="Times New Roman" w:hAnsi="Times New Roman" w:cs="Times New Roman"/>
          <w:sz w:val="24"/>
          <w:szCs w:val="24"/>
        </w:rPr>
        <w:t>со</w:t>
      </w:r>
      <w:r w:rsidRPr="00C9671E">
        <w:rPr>
          <w:rFonts w:ascii="Times New Roman" w:hAnsi="Times New Roman" w:cs="Times New Roman"/>
          <w:sz w:val="24"/>
          <w:szCs w:val="24"/>
        </w:rPr>
        <w:t xml:space="preserve"> европското законодавство за воден транспорт.</w:t>
      </w:r>
    </w:p>
    <w:p w14:paraId="0EAFF230" w14:textId="6265B8FE" w:rsidR="003D4454" w:rsidRPr="00C9671E" w:rsidRDefault="003D4454" w:rsidP="006E4EB0">
      <w:pPr>
        <w:spacing w:after="120" w:line="240" w:lineRule="auto"/>
        <w:ind w:right="-46"/>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Во областа на </w:t>
      </w:r>
      <w:r w:rsidRPr="00C9671E">
        <w:rPr>
          <w:rFonts w:ascii="Times New Roman" w:hAnsi="Times New Roman" w:cs="Times New Roman"/>
          <w:b/>
          <w:sz w:val="24"/>
          <w:szCs w:val="24"/>
        </w:rPr>
        <w:t>воздухопловството</w:t>
      </w:r>
      <w:r w:rsidRPr="00C9671E">
        <w:rPr>
          <w:rFonts w:ascii="Times New Roman" w:hAnsi="Times New Roman" w:cs="Times New Roman"/>
          <w:sz w:val="24"/>
          <w:szCs w:val="24"/>
        </w:rPr>
        <w:t xml:space="preserve">, </w:t>
      </w:r>
      <w:r>
        <w:rPr>
          <w:rFonts w:ascii="Times New Roman" w:hAnsi="Times New Roman" w:cs="Times New Roman"/>
          <w:sz w:val="24"/>
          <w:szCs w:val="24"/>
        </w:rPr>
        <w:t>земјата</w:t>
      </w:r>
      <w:r w:rsidRPr="00C9671E">
        <w:rPr>
          <w:rFonts w:ascii="Times New Roman" w:hAnsi="Times New Roman" w:cs="Times New Roman"/>
          <w:sz w:val="24"/>
          <w:szCs w:val="24"/>
        </w:rPr>
        <w:t xml:space="preserve"> одржува добро ниво на усогласеност со правото на ЕУ и делумно се усогласи со законодавството за безбедност во воздухопловството. Сè уште се потребни повеќе напори за олеснување на инспекциите за стандардизација на Европската агенција за безбедност во воздухопловството.</w:t>
      </w:r>
    </w:p>
    <w:p w14:paraId="0EEACB3F" w14:textId="7376E2EE" w:rsidR="003D4454" w:rsidRPr="00C9671E" w:rsidRDefault="003D4454" w:rsidP="006E4EB0">
      <w:pPr>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комбинираниот транспорт</w:t>
      </w:r>
      <w:r w:rsidRPr="00C9671E">
        <w:rPr>
          <w:rFonts w:ascii="Times New Roman" w:hAnsi="Times New Roman" w:cs="Times New Roman"/>
          <w:sz w:val="24"/>
          <w:szCs w:val="24"/>
        </w:rPr>
        <w:t>, сè уште е потребен напредок во поставувањето мултимодален јазол во близина на Скопје. Нема напредок во донесувањето конкретно законодавство усогласено со правилата на ЕУ. Потребен е напредок во донесувањето на соодветно законодавство и во поставувањето електронски системи за размена на информации за товарен сообраќај.</w:t>
      </w:r>
    </w:p>
    <w:p w14:paraId="6083DF04" w14:textId="32ECAB90" w:rsidR="003D4454" w:rsidRPr="00C9671E" w:rsidRDefault="003D4454" w:rsidP="006E4EB0">
      <w:pPr>
        <w:pStyle w:val="Heading3"/>
      </w:pPr>
      <w:bookmarkStart w:id="253" w:name="_Toc84329800"/>
      <w:bookmarkStart w:id="254" w:name="_Toc84631602"/>
      <w:bookmarkStart w:id="255" w:name="_Toc115619812"/>
      <w:bookmarkStart w:id="256" w:name="_Toc117004183"/>
      <w:r w:rsidRPr="00C9671E">
        <w:t>Поглавје 15: Енергетика</w:t>
      </w:r>
      <w:bookmarkEnd w:id="253"/>
      <w:bookmarkEnd w:id="254"/>
      <w:bookmarkEnd w:id="255"/>
      <w:bookmarkEnd w:id="256"/>
    </w:p>
    <w:p w14:paraId="3E0F7FF5"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i/>
          <w:sz w:val="24"/>
          <w:szCs w:val="24"/>
        </w:rPr>
        <w:t>Енергетската политика на ЕУ опфаќа снабдување со енергија, инфраструктура, внатрешен пазар на енергија, потрошувачи, обновлива енергија, енергетска ефикасност, нуклеарна енергија и нуклеарна безбедност и заштита од радијација.</w:t>
      </w:r>
    </w:p>
    <w:p w14:paraId="73ACBC3B" w14:textId="3C7E8AC1"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оваа област. Постигнат е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особено со донесувањето на Националниот план за енергија и клима, и инвестициите во соларни електрани, на 31 мај 2022 година. Во однос на тековниот геополитички контекст, Северна Македонија треба да го забрза преминот кон обновливи избори и значително да ја намали својата зависност од гас.</w:t>
      </w:r>
    </w:p>
    <w:p w14:paraId="44BE28A8"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Бидејќи минатогодишните препораки не беа целосно спроведени, во наредната година земјата треба особено:</w:t>
      </w:r>
    </w:p>
    <w:p w14:paraId="4E2A8D5F" w14:textId="77777777" w:rsidR="003D4454" w:rsidRPr="00C9671E" w:rsidRDefault="003D4454" w:rsidP="006E4EB0">
      <w:pPr>
        <w:numPr>
          <w:ilvl w:val="0"/>
          <w:numId w:val="5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заврши со раздвојување (сертификација) на системите за пренос на гас;</w:t>
      </w:r>
    </w:p>
    <w:p w14:paraId="517E5545" w14:textId="77777777" w:rsidR="003D4454" w:rsidRPr="00C9671E" w:rsidRDefault="003D4454" w:rsidP="006E4EB0">
      <w:pPr>
        <w:numPr>
          <w:ilvl w:val="0"/>
          <w:numId w:val="5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го зголеми бројот на вработени и техничко/инженерскиот капацитет на Секторот за енергетика во Министерството за економија и Агенцијата за енергетика;</w:t>
      </w:r>
    </w:p>
    <w:p w14:paraId="769A1726" w14:textId="77777777" w:rsidR="003D4454" w:rsidRPr="00C9671E" w:rsidRDefault="003D4454" w:rsidP="006E4EB0">
      <w:pPr>
        <w:numPr>
          <w:ilvl w:val="0"/>
          <w:numId w:val="5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донесе и да спроведе законодавство за енергетска ефикасност;</w:t>
      </w:r>
    </w:p>
    <w:p w14:paraId="1076F9E7" w14:textId="0DB2EEFF" w:rsidR="003D4454" w:rsidRPr="00C9671E" w:rsidRDefault="003D4454" w:rsidP="006E4EB0">
      <w:pPr>
        <w:numPr>
          <w:ilvl w:val="0"/>
          <w:numId w:val="55"/>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да ги искористи придобивките на гаранциите за потекло во Енергетската заедница и да потпише директен договор со давателот на услугата за употреба на електронски регистар за издавање, </w:t>
      </w:r>
      <w:r>
        <w:rPr>
          <w:rFonts w:ascii="Times New Roman" w:hAnsi="Times New Roman" w:cs="Times New Roman"/>
          <w:sz w:val="24"/>
          <w:szCs w:val="24"/>
        </w:rPr>
        <w:t xml:space="preserve">пренесување и </w:t>
      </w:r>
      <w:r w:rsidRPr="00C9671E">
        <w:rPr>
          <w:rFonts w:ascii="Times New Roman" w:hAnsi="Times New Roman" w:cs="Times New Roman"/>
          <w:sz w:val="24"/>
          <w:szCs w:val="24"/>
        </w:rPr>
        <w:t xml:space="preserve">откажување </w:t>
      </w:r>
      <w:r>
        <w:rPr>
          <w:rFonts w:ascii="Times New Roman" w:hAnsi="Times New Roman" w:cs="Times New Roman"/>
          <w:sz w:val="24"/>
          <w:szCs w:val="24"/>
        </w:rPr>
        <w:t>на</w:t>
      </w:r>
      <w:r w:rsidRPr="00C9671E">
        <w:rPr>
          <w:rFonts w:ascii="Times New Roman" w:hAnsi="Times New Roman" w:cs="Times New Roman"/>
          <w:sz w:val="24"/>
          <w:szCs w:val="24"/>
        </w:rPr>
        <w:t xml:space="preserve"> гаранции за потекло во согласност со стандардите на ЕУ.</w:t>
      </w:r>
    </w:p>
    <w:p w14:paraId="3F5DD860" w14:textId="03CA39A8"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безбедноста на снабдувањето</w:t>
      </w:r>
      <w:r w:rsidRPr="00C9671E">
        <w:rPr>
          <w:rFonts w:ascii="Times New Roman" w:hAnsi="Times New Roman" w:cs="Times New Roman"/>
          <w:sz w:val="24"/>
          <w:szCs w:val="24"/>
        </w:rPr>
        <w:t xml:space="preserve">, неопходно е да се процени </w:t>
      </w:r>
      <w:r>
        <w:rPr>
          <w:rFonts w:ascii="Times New Roman" w:hAnsi="Times New Roman" w:cs="Times New Roman"/>
          <w:sz w:val="24"/>
          <w:szCs w:val="24"/>
        </w:rPr>
        <w:t xml:space="preserve">достапноста </w:t>
      </w:r>
      <w:r w:rsidRPr="00C9671E">
        <w:rPr>
          <w:rFonts w:ascii="Times New Roman" w:hAnsi="Times New Roman" w:cs="Times New Roman"/>
          <w:sz w:val="24"/>
          <w:szCs w:val="24"/>
        </w:rPr>
        <w:t xml:space="preserve">на јаглен за да се осигури добро функционирање на термоцентралата во Битола, вклучително и да се инвестира во нови ресурси. Државната компанија за производство на електрична енергија ЕСМ треба да го подобри функционирањето и одржувањето на постројките за производство на струја. Земјата донесе Закон за задолжителни нафтени резерви и основаше Агенција за задолжителни нафтени резерви. Донесе планови за ослободување на резервите во итен случај. </w:t>
      </w:r>
      <w:r>
        <w:rPr>
          <w:rFonts w:ascii="Times New Roman" w:hAnsi="Times New Roman" w:cs="Times New Roman"/>
          <w:sz w:val="24"/>
          <w:szCs w:val="24"/>
        </w:rPr>
        <w:t xml:space="preserve">Залихите </w:t>
      </w:r>
      <w:r w:rsidRPr="00C9671E">
        <w:rPr>
          <w:rFonts w:ascii="Times New Roman" w:hAnsi="Times New Roman" w:cs="Times New Roman"/>
          <w:sz w:val="24"/>
          <w:szCs w:val="24"/>
        </w:rPr>
        <w:t xml:space="preserve">на нафта се доволни за </w:t>
      </w:r>
      <w:r>
        <w:rPr>
          <w:rFonts w:ascii="Times New Roman" w:hAnsi="Times New Roman" w:cs="Times New Roman"/>
          <w:sz w:val="24"/>
          <w:szCs w:val="24"/>
        </w:rPr>
        <w:t xml:space="preserve">54 дена </w:t>
      </w:r>
      <w:r w:rsidRPr="00C9671E">
        <w:rPr>
          <w:rFonts w:ascii="Times New Roman" w:hAnsi="Times New Roman" w:cs="Times New Roman"/>
          <w:sz w:val="24"/>
          <w:szCs w:val="24"/>
        </w:rPr>
        <w:t>просечна дневна потрошувачка.</w:t>
      </w:r>
    </w:p>
    <w:p w14:paraId="0E42C354" w14:textId="2CD8038B"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тек е изградбата на нова 400kV интерконективна линија за пренос на електрична енергија од Албанија. Интерконективните капацитети на границата со Грција и Косово се доделени преку централната аукциска канцеларија во Југоисточна Европа, а другите билатерално. Спроведувањето патоказ за спојување електрична енергија со Бугарија е условено со претходно воспоставување </w:t>
      </w:r>
      <w:r>
        <w:rPr>
          <w:rFonts w:ascii="Times New Roman" w:hAnsi="Times New Roman" w:cs="Times New Roman"/>
          <w:sz w:val="24"/>
          <w:szCs w:val="24"/>
        </w:rPr>
        <w:t xml:space="preserve">на претстојниот </w:t>
      </w:r>
      <w:r w:rsidRPr="00C9671E">
        <w:rPr>
          <w:rFonts w:ascii="Times New Roman" w:hAnsi="Times New Roman" w:cs="Times New Roman"/>
          <w:sz w:val="24"/>
          <w:szCs w:val="24"/>
        </w:rPr>
        <w:t xml:space="preserve">пазар. Во однос на гасните интерконекции, </w:t>
      </w:r>
      <w:r>
        <w:rPr>
          <w:rFonts w:ascii="Times New Roman" w:hAnsi="Times New Roman" w:cs="Times New Roman"/>
          <w:sz w:val="24"/>
          <w:szCs w:val="24"/>
        </w:rPr>
        <w:t>о</w:t>
      </w:r>
      <w:r w:rsidRPr="00C9671E">
        <w:rPr>
          <w:rFonts w:ascii="Times New Roman" w:hAnsi="Times New Roman" w:cs="Times New Roman"/>
          <w:sz w:val="24"/>
          <w:szCs w:val="24"/>
        </w:rPr>
        <w:t>ператорите на преносните системи на Северна Македонија и Грција потпишаа договор за соработка во септември 2021 година. Имаше одложувања во воспоставувањето и сертификацијата на независните оператори за пренос на гас како предуслов за интерконекторот со Грција и диверзификација на изворите на енергија.</w:t>
      </w:r>
    </w:p>
    <w:p w14:paraId="324C28EF"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Земјата донесе петгодишна програма за спроведување на Стратегијата за енергетски развој и во мај 2022 година беше донесен интегриран Национален план за енергија и клима. Со оглед на енергетската криза уште поважно е Владата да го зголеми својот административен капацитет во справување со енергетската политика, стратегиското планирање и спроведувањето дејства во соодветните институции.</w:t>
      </w:r>
    </w:p>
    <w:p w14:paraId="2ECB343D" w14:textId="5EC55669"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внатрешниот пазар на енергија</w:t>
      </w:r>
      <w:r w:rsidRPr="00C9671E">
        <w:rPr>
          <w:rFonts w:ascii="Times New Roman" w:hAnsi="Times New Roman" w:cs="Times New Roman"/>
          <w:sz w:val="24"/>
          <w:szCs w:val="24"/>
        </w:rPr>
        <w:t>, националната рамка е усогласена со третиот енергетски пакет на ЕУ за гас и електрична енергија. Пазарите за електрична енергија и гас се отворени за конкуренција. Донесувањето соодветно</w:t>
      </w:r>
      <w:r>
        <w:rPr>
          <w:rFonts w:ascii="Times New Roman" w:hAnsi="Times New Roman" w:cs="Times New Roman"/>
          <w:sz w:val="24"/>
          <w:szCs w:val="24"/>
        </w:rPr>
        <w:t>то секундарно</w:t>
      </w:r>
      <w:r w:rsidRPr="00C9671E">
        <w:rPr>
          <w:rFonts w:ascii="Times New Roman" w:hAnsi="Times New Roman" w:cs="Times New Roman"/>
          <w:sz w:val="24"/>
          <w:szCs w:val="24"/>
        </w:rPr>
        <w:t xml:space="preserve"> законодавство напредува добро.</w:t>
      </w:r>
    </w:p>
    <w:p w14:paraId="449FD2B7" w14:textId="4291F26D" w:rsidR="003D4454" w:rsidRPr="00C9671E" w:rsidRDefault="003D4454" w:rsidP="006E4E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Мрежните о</w:t>
      </w:r>
      <w:r w:rsidRPr="00C9671E">
        <w:rPr>
          <w:rFonts w:ascii="Times New Roman" w:hAnsi="Times New Roman" w:cs="Times New Roman"/>
          <w:sz w:val="24"/>
          <w:szCs w:val="24"/>
        </w:rPr>
        <w:t>ператори за пренос и дистрибуција на електрична енергија се раздвоени во согласност со правото на ЕУ. Како и минатата година, операторот на системот за пренос на гас сѐ уште не е раздвоен во согласност со третиот енергетски пакет. Исто така, Регулативата за интегритет и транспарентност на големопродажниот пазар на енергија (REMIT) сѐ уште не е</w:t>
      </w:r>
      <w:r>
        <w:rPr>
          <w:rFonts w:ascii="Times New Roman" w:hAnsi="Times New Roman" w:cs="Times New Roman"/>
          <w:sz w:val="24"/>
          <w:szCs w:val="24"/>
        </w:rPr>
        <w:t xml:space="preserve"> транспонирана</w:t>
      </w:r>
      <w:r w:rsidRPr="00C9671E">
        <w:rPr>
          <w:rFonts w:ascii="Times New Roman" w:hAnsi="Times New Roman" w:cs="Times New Roman"/>
          <w:sz w:val="24"/>
          <w:szCs w:val="24"/>
        </w:rPr>
        <w:t>.</w:t>
      </w:r>
    </w:p>
    <w:p w14:paraId="4263860E" w14:textId="5C546AF6"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Пристапот на трети страни до инфраструктурата за природен гас е во согласност со правото на ЕУ, но потребно е да се подобри транспарентноста. Во тек се работите за изградба на гасоводот помеѓу Неготино-Битола и Скопје-Тетово-Гостивар.</w:t>
      </w:r>
    </w:p>
    <w:p w14:paraId="7F1A9D2D"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Големопродажните цени на гасот се целосно дерегулирани, но сепак пазарот останува неликвиден, без виртуелна точка за тргување.</w:t>
      </w:r>
    </w:p>
    <w:p w14:paraId="3B0CBC3D" w14:textId="2D984618"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Регулаторната комисија за енергетика (РКЕ) е во функција и продолжува да покажува независност во работењето. Комисијата за заштита на конкуренцијата не спроведе ниту една истрага во енергетскиот сектор.</w:t>
      </w:r>
    </w:p>
    <w:p w14:paraId="729E316C" w14:textId="45C5E1AF"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областа на </w:t>
      </w:r>
      <w:r w:rsidRPr="00C9671E">
        <w:rPr>
          <w:rFonts w:ascii="Times New Roman" w:hAnsi="Times New Roman" w:cs="Times New Roman"/>
          <w:b/>
          <w:sz w:val="24"/>
          <w:szCs w:val="24"/>
        </w:rPr>
        <w:t>јаглеводородите</w:t>
      </w:r>
      <w:r w:rsidRPr="00C9671E">
        <w:rPr>
          <w:rFonts w:ascii="Times New Roman" w:hAnsi="Times New Roman" w:cs="Times New Roman"/>
          <w:sz w:val="24"/>
          <w:szCs w:val="24"/>
        </w:rPr>
        <w:t>, Законот за минерални суровини останува да се усогласи со Директивата за лиценцирање на јаглеводороди.</w:t>
      </w:r>
    </w:p>
    <w:p w14:paraId="39DADE17" w14:textId="00CCA48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Изменетиот национален акциски план за </w:t>
      </w:r>
      <w:r w:rsidRPr="00C9671E">
        <w:rPr>
          <w:rFonts w:ascii="Times New Roman" w:hAnsi="Times New Roman" w:cs="Times New Roman"/>
          <w:b/>
          <w:sz w:val="24"/>
          <w:szCs w:val="24"/>
        </w:rPr>
        <w:t>обновлива енергија</w:t>
      </w:r>
      <w:r w:rsidRPr="00C9671E">
        <w:rPr>
          <w:rFonts w:ascii="Times New Roman" w:hAnsi="Times New Roman" w:cs="Times New Roman"/>
          <w:sz w:val="24"/>
          <w:szCs w:val="24"/>
        </w:rPr>
        <w:t xml:space="preserve"> е во согласност со ревидираната обврзувачка цел 23% од енергијата да доаѓа од обновливи извори на енергија до 2020 година и 24% до 2025 година. Во 2020 година земјата оствари учество само </w:t>
      </w:r>
      <w:r>
        <w:rPr>
          <w:rFonts w:ascii="Times New Roman" w:hAnsi="Times New Roman" w:cs="Times New Roman"/>
          <w:sz w:val="24"/>
          <w:szCs w:val="24"/>
        </w:rPr>
        <w:t xml:space="preserve">со </w:t>
      </w:r>
      <w:r w:rsidRPr="00C9671E">
        <w:rPr>
          <w:rFonts w:ascii="Times New Roman" w:hAnsi="Times New Roman" w:cs="Times New Roman"/>
          <w:sz w:val="24"/>
          <w:szCs w:val="24"/>
        </w:rPr>
        <w:t>19,3%. Законот за енергетика е умерено усогласен со Директивата за обновливи извори на енергија.</w:t>
      </w:r>
    </w:p>
    <w:p w14:paraId="1C86FAE3" w14:textId="5906CAFB"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Инвестициите во хидроенергија треба да бидат усогласени со </w:t>
      </w:r>
      <w:r>
        <w:rPr>
          <w:rFonts w:ascii="Times New Roman" w:hAnsi="Times New Roman" w:cs="Times New Roman"/>
          <w:sz w:val="24"/>
          <w:szCs w:val="24"/>
        </w:rPr>
        <w:t>релевантното право</w:t>
      </w:r>
      <w:r w:rsidRPr="00C9671E">
        <w:rPr>
          <w:rFonts w:ascii="Times New Roman" w:hAnsi="Times New Roman" w:cs="Times New Roman"/>
          <w:sz w:val="24"/>
          <w:szCs w:val="24"/>
        </w:rPr>
        <w:t xml:space="preserve"> на ЕУ за животна средина. Оптимализацијата на услугите за балансна енергија и инвестиции во преносот на енергија и резервите на енергија треба да се унапреди за да се подобри интеграцијата на извори за обновлива енергија во мрежата.</w:t>
      </w:r>
    </w:p>
    <w:p w14:paraId="0153AAD7" w14:textId="18D434BE"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Мора да се отстрани ограничувањето на капацитетот по тип на технологија за обновлива енергија за да се овозможи постигнување на целта за обновливи извори на енергија до 2025 година. Електронски систем за издавање, пренос и за откажување на гаранциите за потекло сè уште не е воспоставен. Потребно е усогласување со европското законодавство во </w:t>
      </w:r>
      <w:r>
        <w:rPr>
          <w:rFonts w:ascii="Times New Roman" w:hAnsi="Times New Roman" w:cs="Times New Roman"/>
          <w:sz w:val="24"/>
          <w:szCs w:val="24"/>
        </w:rPr>
        <w:t>делот</w:t>
      </w:r>
      <w:r w:rsidRPr="00C9671E">
        <w:rPr>
          <w:rFonts w:ascii="Times New Roman" w:hAnsi="Times New Roman" w:cs="Times New Roman"/>
          <w:sz w:val="24"/>
          <w:szCs w:val="24"/>
        </w:rPr>
        <w:t xml:space="preserve"> на одржливоста </w:t>
      </w:r>
      <w:r>
        <w:rPr>
          <w:rFonts w:ascii="Times New Roman" w:hAnsi="Times New Roman" w:cs="Times New Roman"/>
          <w:sz w:val="24"/>
          <w:szCs w:val="24"/>
        </w:rPr>
        <w:t>н</w:t>
      </w:r>
      <w:r w:rsidRPr="00C9671E">
        <w:rPr>
          <w:rFonts w:ascii="Times New Roman" w:hAnsi="Times New Roman" w:cs="Times New Roman"/>
          <w:sz w:val="24"/>
          <w:szCs w:val="24"/>
        </w:rPr>
        <w:t>а биогорива</w:t>
      </w:r>
      <w:r>
        <w:rPr>
          <w:rFonts w:ascii="Times New Roman" w:hAnsi="Times New Roman" w:cs="Times New Roman"/>
          <w:sz w:val="24"/>
          <w:szCs w:val="24"/>
        </w:rPr>
        <w:t>та</w:t>
      </w:r>
      <w:r w:rsidRPr="00C9671E">
        <w:rPr>
          <w:rFonts w:ascii="Times New Roman" w:hAnsi="Times New Roman" w:cs="Times New Roman"/>
          <w:sz w:val="24"/>
          <w:szCs w:val="24"/>
        </w:rPr>
        <w:t>. Работата на производителите на електрична енергија е овозможена со Правилникот за обновливи извори, но неговото спроведување е отежнато поради бројни административни пречки.</w:t>
      </w:r>
    </w:p>
    <w:p w14:paraId="01CD9B74" w14:textId="1FF82555"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Преминот кон чиста енергија треба да се координира, вклучително и </w:t>
      </w:r>
      <w:r>
        <w:rPr>
          <w:rFonts w:ascii="Times New Roman" w:hAnsi="Times New Roman" w:cs="Times New Roman"/>
          <w:sz w:val="24"/>
          <w:szCs w:val="24"/>
        </w:rPr>
        <w:t xml:space="preserve">со </w:t>
      </w:r>
      <w:r w:rsidRPr="00C9671E">
        <w:rPr>
          <w:rFonts w:ascii="Times New Roman" w:hAnsi="Times New Roman" w:cs="Times New Roman"/>
          <w:sz w:val="24"/>
          <w:szCs w:val="24"/>
        </w:rPr>
        <w:t xml:space="preserve">механизам за регулирање, акциски план и механизам за следење </w:t>
      </w:r>
      <w:r>
        <w:rPr>
          <w:rFonts w:ascii="Times New Roman" w:hAnsi="Times New Roman" w:cs="Times New Roman"/>
          <w:sz w:val="24"/>
          <w:szCs w:val="24"/>
        </w:rPr>
        <w:t>н</w:t>
      </w:r>
      <w:r w:rsidRPr="00C9671E">
        <w:rPr>
          <w:rFonts w:ascii="Times New Roman" w:hAnsi="Times New Roman" w:cs="Times New Roman"/>
          <w:sz w:val="24"/>
          <w:szCs w:val="24"/>
        </w:rPr>
        <w:t>а процес</w:t>
      </w:r>
      <w:r>
        <w:rPr>
          <w:rFonts w:ascii="Times New Roman" w:hAnsi="Times New Roman" w:cs="Times New Roman"/>
          <w:sz w:val="24"/>
          <w:szCs w:val="24"/>
        </w:rPr>
        <w:t>от</w:t>
      </w:r>
      <w:r w:rsidRPr="00C9671E">
        <w:rPr>
          <w:rFonts w:ascii="Times New Roman" w:hAnsi="Times New Roman" w:cs="Times New Roman"/>
          <w:sz w:val="24"/>
          <w:szCs w:val="24"/>
        </w:rPr>
        <w:t xml:space="preserve"> на </w:t>
      </w:r>
      <w:r w:rsidRPr="00C9671E">
        <w:rPr>
          <w:rFonts w:ascii="Times New Roman" w:hAnsi="Times New Roman" w:cs="Times New Roman"/>
          <w:sz w:val="24"/>
          <w:szCs w:val="24"/>
          <w:cs/>
        </w:rPr>
        <w:t>„</w:t>
      </w:r>
      <w:r w:rsidRPr="00C9671E">
        <w:rPr>
          <w:rFonts w:ascii="Times New Roman" w:hAnsi="Times New Roman" w:cs="Times New Roman"/>
          <w:sz w:val="24"/>
          <w:szCs w:val="24"/>
        </w:rPr>
        <w:t>правична транзиција</w:t>
      </w:r>
      <w:r w:rsidRPr="00C9671E">
        <w:rPr>
          <w:rFonts w:ascii="Times New Roman" w:hAnsi="Times New Roman" w:cs="Times New Roman"/>
          <w:sz w:val="24"/>
          <w:szCs w:val="24"/>
          <w:cs/>
        </w:rPr>
        <w:t>“</w:t>
      </w:r>
      <w:r w:rsidRPr="00C9671E">
        <w:rPr>
          <w:rFonts w:ascii="Times New Roman" w:hAnsi="Times New Roman" w:cs="Times New Roman"/>
          <w:sz w:val="24"/>
          <w:szCs w:val="24"/>
        </w:rPr>
        <w:t>. Овој процес вклучува ублажување на негативните социјални и економски влијанија на планираното затворање на електраните на погон на јаглен во соодветните региони.</w:t>
      </w:r>
    </w:p>
    <w:p w14:paraId="47D15E19" w14:textId="0DBCEC39"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Четвриот акциски план за </w:t>
      </w:r>
      <w:r w:rsidRPr="00C9671E">
        <w:rPr>
          <w:rFonts w:ascii="Times New Roman" w:hAnsi="Times New Roman" w:cs="Times New Roman"/>
          <w:b/>
          <w:bCs/>
          <w:sz w:val="24"/>
          <w:szCs w:val="24"/>
        </w:rPr>
        <w:t>енергетска ефикасност</w:t>
      </w:r>
      <w:r w:rsidRPr="00C9671E">
        <w:rPr>
          <w:rFonts w:ascii="Times New Roman" w:hAnsi="Times New Roman" w:cs="Times New Roman"/>
          <w:sz w:val="24"/>
          <w:szCs w:val="24"/>
        </w:rPr>
        <w:t xml:space="preserve"> беше донесен во септември 2021 година. Законот за енергетска ефикасност е усогласен со директивите за енергетска ефикасност и за енергетски перформанси на згради. Сепак, нема промени во однос на недостатокот од спроведување на тековното законодавство. Донесувањето законодавство за спроведување останува предизвик, поради ограничените човечки и технички ресурси во рамките на Секторот за енергетика на Министерството за економија и Агенцијата за енергетика.</w:t>
      </w:r>
    </w:p>
    <w:p w14:paraId="4613C9D2"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Кога станува збор за ефикасноста, треба да се подобри финансирањето, вклучително и со формирање Фонд за енергетска ефикасност. Општините се охрабруваат да преземат чекори за целосно почитување на нивните обврски за развивање и спроведување програми за енергетска ефикасност.</w:t>
      </w:r>
    </w:p>
    <w:p w14:paraId="00325BA1" w14:textId="23BEFEFB"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нуклеарната енергија, нуклеарната безбедност и заштита од радијација</w:t>
      </w:r>
      <w:r w:rsidRPr="00C9671E">
        <w:rPr>
          <w:rFonts w:ascii="Times New Roman" w:hAnsi="Times New Roman" w:cs="Times New Roman"/>
          <w:sz w:val="24"/>
          <w:szCs w:val="24"/>
        </w:rPr>
        <w:t xml:space="preserve">, </w:t>
      </w:r>
      <w:r>
        <w:rPr>
          <w:rFonts w:ascii="Times New Roman" w:hAnsi="Times New Roman" w:cs="Times New Roman"/>
          <w:sz w:val="24"/>
          <w:szCs w:val="24"/>
        </w:rPr>
        <w:t>земјата</w:t>
      </w:r>
      <w:r w:rsidRPr="00C9671E">
        <w:rPr>
          <w:rFonts w:ascii="Times New Roman" w:hAnsi="Times New Roman" w:cs="Times New Roman"/>
          <w:sz w:val="24"/>
          <w:szCs w:val="24"/>
        </w:rPr>
        <w:t xml:space="preserve"> ги ратификуваше релевантните меѓународни конвенции и е полноправна членка на Системот на Европската заедница за рана размена на информации во случај на радиолошки вонреден настан (ECURIE). Владата донесе национална политика за управување со радиоактивен отпад. Сепак, во земјата сè уште нема долгорочен и безбеден објект за складирање радиоактивен отпад.</w:t>
      </w:r>
    </w:p>
    <w:p w14:paraId="26F1D6E7" w14:textId="77777777" w:rsidR="003D4454" w:rsidRPr="00C9671E" w:rsidRDefault="003D4454" w:rsidP="006E4EB0">
      <w:pPr>
        <w:pStyle w:val="Heading3"/>
      </w:pPr>
      <w:bookmarkStart w:id="257" w:name="_Toc9430370"/>
      <w:bookmarkStart w:id="258" w:name="_Toc51252793"/>
      <w:bookmarkStart w:id="259" w:name="_Toc84329801"/>
      <w:bookmarkStart w:id="260" w:name="_Toc84631603"/>
      <w:bookmarkStart w:id="261" w:name="_Toc115619813"/>
      <w:bookmarkStart w:id="262" w:name="_Toc117004184"/>
      <w:r w:rsidRPr="00C9671E">
        <w:t>Поглавје 21: Транс</w:t>
      </w:r>
      <w:r>
        <w:t>-</w:t>
      </w:r>
      <w:r w:rsidRPr="00C9671E">
        <w:t>европски мрежи</w:t>
      </w:r>
      <w:bookmarkEnd w:id="257"/>
      <w:bookmarkEnd w:id="258"/>
      <w:bookmarkEnd w:id="259"/>
      <w:bookmarkEnd w:id="260"/>
      <w:bookmarkEnd w:id="261"/>
      <w:bookmarkEnd w:id="262"/>
    </w:p>
    <w:p w14:paraId="26CE243A" w14:textId="77777777" w:rsidR="003D4454" w:rsidRPr="00C9671E" w:rsidRDefault="003D4454" w:rsidP="006E4EB0">
      <w:pPr>
        <w:spacing w:after="120" w:line="240" w:lineRule="auto"/>
        <w:ind w:right="-46"/>
        <w:jc w:val="both"/>
        <w:rPr>
          <w:rFonts w:ascii="Times New Roman" w:eastAsia="Times New Roman" w:hAnsi="Times New Roman" w:cs="Times New Roman"/>
          <w:i/>
          <w:sz w:val="24"/>
          <w:szCs w:val="24"/>
        </w:rPr>
      </w:pPr>
      <w:r w:rsidRPr="00C9671E">
        <w:rPr>
          <w:rFonts w:ascii="Times New Roman" w:hAnsi="Times New Roman" w:cs="Times New Roman"/>
          <w:i/>
          <w:sz w:val="24"/>
          <w:szCs w:val="24"/>
        </w:rPr>
        <w:t>ЕУ ги унапредува транс</w:t>
      </w:r>
      <w:r>
        <w:rPr>
          <w:rFonts w:ascii="Times New Roman" w:hAnsi="Times New Roman" w:cs="Times New Roman"/>
          <w:i/>
          <w:sz w:val="24"/>
          <w:szCs w:val="24"/>
        </w:rPr>
        <w:t>-</w:t>
      </w:r>
      <w:r w:rsidRPr="00C9671E">
        <w:rPr>
          <w:rFonts w:ascii="Times New Roman" w:hAnsi="Times New Roman" w:cs="Times New Roman"/>
          <w:i/>
          <w:sz w:val="24"/>
          <w:szCs w:val="24"/>
        </w:rPr>
        <w:t>европските мрежи во областите на транспорт, телекомуникации и енергетика за зајакнување на внатрешниот пазар и придонес во растот и вработувањето.</w:t>
      </w:r>
    </w:p>
    <w:p w14:paraId="4D5091CC" w14:textId="101D1D2D"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има </w:t>
      </w:r>
      <w:r w:rsidRPr="00C9671E">
        <w:rPr>
          <w:rFonts w:ascii="Times New Roman" w:hAnsi="Times New Roman" w:cs="Times New Roman"/>
          <w:b/>
          <w:sz w:val="24"/>
          <w:szCs w:val="24"/>
        </w:rPr>
        <w:t>добро ниво на подготвеност</w:t>
      </w:r>
      <w:r w:rsidRPr="00C9671E">
        <w:rPr>
          <w:rFonts w:ascii="Times New Roman" w:hAnsi="Times New Roman" w:cs="Times New Roman"/>
          <w:sz w:val="24"/>
          <w:szCs w:val="24"/>
        </w:rPr>
        <w:t xml:space="preserve"> во областа на транспортните мрежи.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е постигнат во текот на периодот на известување, особено во спроведувањето на секторските реформи.</w:t>
      </w:r>
    </w:p>
    <w:p w14:paraId="26F618F3"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hAnsi="Times New Roman" w:cs="Times New Roman"/>
          <w:sz w:val="24"/>
          <w:szCs w:val="24"/>
        </w:rPr>
      </w:pPr>
      <w:r w:rsidRPr="00C9671E">
        <w:rPr>
          <w:rFonts w:ascii="Times New Roman" w:hAnsi="Times New Roman" w:cs="Times New Roman"/>
          <w:sz w:val="24"/>
          <w:szCs w:val="24"/>
        </w:rPr>
        <w:t>Бидејќи препораките од минатата година не беа целосно спроведени, нивната важност трае и оваа година. Сепак, третата препорака за Протоколот за гранични премини за железнички сообраќај склучен со Косово беше делумно исполнета.</w:t>
      </w:r>
    </w:p>
    <w:p w14:paraId="4A27F3F3"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Во наредната година, земјата треба особено:</w:t>
      </w:r>
    </w:p>
    <w:p w14:paraId="79C68AAA" w14:textId="77777777" w:rsidR="003D4454" w:rsidRPr="00C9671E" w:rsidRDefault="003D4454" w:rsidP="006E4EB0">
      <w:pPr>
        <w:numPr>
          <w:ilvl w:val="0"/>
          <w:numId w:val="56"/>
        </w:num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понатамошно да го зајакне оперативниот и техничкиот капацитет на сите управни институции и институциите на засегнатите страни кои се вклучени во развојот на Транс</w:t>
      </w:r>
      <w:r>
        <w:rPr>
          <w:rFonts w:ascii="Times New Roman" w:hAnsi="Times New Roman" w:cs="Times New Roman"/>
          <w:sz w:val="24"/>
          <w:szCs w:val="24"/>
        </w:rPr>
        <w:t>-</w:t>
      </w:r>
      <w:r w:rsidRPr="00C9671E">
        <w:rPr>
          <w:rFonts w:ascii="Times New Roman" w:hAnsi="Times New Roman" w:cs="Times New Roman"/>
          <w:sz w:val="24"/>
          <w:szCs w:val="24"/>
        </w:rPr>
        <w:t>европската транспортна мрежа (ТЕН Т) и Транс</w:t>
      </w:r>
      <w:r>
        <w:rPr>
          <w:rFonts w:ascii="Times New Roman" w:hAnsi="Times New Roman" w:cs="Times New Roman"/>
          <w:sz w:val="24"/>
          <w:szCs w:val="24"/>
        </w:rPr>
        <w:t>-</w:t>
      </w:r>
      <w:r w:rsidRPr="00C9671E">
        <w:rPr>
          <w:rFonts w:ascii="Times New Roman" w:hAnsi="Times New Roman" w:cs="Times New Roman"/>
          <w:sz w:val="24"/>
          <w:szCs w:val="24"/>
        </w:rPr>
        <w:t>европската енергетска мрежа (ТЕН Е) и усогласување на правната рамка со Регулативата за транс</w:t>
      </w:r>
      <w:r>
        <w:rPr>
          <w:rFonts w:ascii="Times New Roman" w:hAnsi="Times New Roman" w:cs="Times New Roman"/>
          <w:sz w:val="24"/>
          <w:szCs w:val="24"/>
        </w:rPr>
        <w:t>-</w:t>
      </w:r>
      <w:r w:rsidRPr="00C9671E">
        <w:rPr>
          <w:rFonts w:ascii="Times New Roman" w:hAnsi="Times New Roman" w:cs="Times New Roman"/>
          <w:sz w:val="24"/>
          <w:szCs w:val="24"/>
        </w:rPr>
        <w:t>европска мрежа;</w:t>
      </w:r>
    </w:p>
    <w:p w14:paraId="50C29058" w14:textId="77777777" w:rsidR="003D4454" w:rsidRPr="00C9671E" w:rsidRDefault="003D4454" w:rsidP="006E4EB0">
      <w:pPr>
        <w:numPr>
          <w:ilvl w:val="0"/>
          <w:numId w:val="56"/>
        </w:num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eastAsia="Times New Roman" w:hAnsi="Times New Roman" w:cs="Times New Roman"/>
          <w:sz w:val="24"/>
          <w:szCs w:val="24"/>
        </w:rPr>
      </w:pPr>
      <w:r w:rsidRPr="00C9671E">
        <w:rPr>
          <w:rFonts w:ascii="Times New Roman" w:hAnsi="Times New Roman" w:cs="Times New Roman"/>
          <w:sz w:val="24"/>
          <w:szCs w:val="24"/>
        </w:rPr>
        <w:t>да мобилизира доволно ресурси за спроведување на Договорот за транспортна заедница;</w:t>
      </w:r>
    </w:p>
    <w:p w14:paraId="53287215" w14:textId="77777777" w:rsidR="003D4454" w:rsidRPr="00C9671E" w:rsidRDefault="003D4454" w:rsidP="006E4EB0">
      <w:pPr>
        <w:numPr>
          <w:ilvl w:val="0"/>
          <w:numId w:val="56"/>
        </w:numPr>
        <w:pBdr>
          <w:top w:val="single" w:sz="4" w:space="1" w:color="auto"/>
          <w:left w:val="single" w:sz="4" w:space="4" w:color="auto"/>
          <w:bottom w:val="single" w:sz="4" w:space="1" w:color="auto"/>
          <w:right w:val="single" w:sz="4" w:space="4" w:color="auto"/>
        </w:pBdr>
        <w:shd w:val="clear" w:color="auto" w:fill="D9D9D9"/>
        <w:spacing w:after="120" w:line="240" w:lineRule="auto"/>
        <w:ind w:right="-46"/>
        <w:jc w:val="both"/>
        <w:rPr>
          <w:rFonts w:ascii="Times New Roman" w:hAnsi="Times New Roman" w:cs="Times New Roman"/>
          <w:sz w:val="24"/>
          <w:szCs w:val="24"/>
        </w:rPr>
      </w:pPr>
      <w:r w:rsidRPr="00C9671E">
        <w:rPr>
          <w:rFonts w:ascii="Times New Roman" w:hAnsi="Times New Roman" w:cs="Times New Roman"/>
          <w:sz w:val="24"/>
          <w:szCs w:val="24"/>
        </w:rPr>
        <w:t>да ги спроведе завршните одредби од Протоколот за гранични премини за железнички сообраќај склучен со Косово.</w:t>
      </w:r>
      <w:bookmarkStart w:id="263" w:name="page76"/>
      <w:bookmarkEnd w:id="263"/>
    </w:p>
    <w:p w14:paraId="51AD81F8" w14:textId="47F4F25B" w:rsidR="003D4454" w:rsidRPr="00C9671E" w:rsidRDefault="003D4454" w:rsidP="006E4EB0">
      <w:pPr>
        <w:spacing w:after="120" w:line="240" w:lineRule="auto"/>
        <w:ind w:right="-46"/>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транспортните мрежи</w:t>
      </w:r>
      <w:r w:rsidRPr="00C9671E">
        <w:rPr>
          <w:rFonts w:ascii="Times New Roman" w:hAnsi="Times New Roman" w:cs="Times New Roman"/>
          <w:sz w:val="24"/>
          <w:szCs w:val="24"/>
        </w:rPr>
        <w:t xml:space="preserve">, земјата продолжува активно да учествува во Договорот за транспортна заедница (ДТЗ) и учествува на сите нејзини состаноци. Се донесоа сите акциски планови од ДТЗ. Се охрабруваат органите да ја продолжат соработката според овој </w:t>
      </w:r>
      <w:r>
        <w:rPr>
          <w:rFonts w:ascii="Times New Roman" w:hAnsi="Times New Roman" w:cs="Times New Roman"/>
          <w:sz w:val="24"/>
          <w:szCs w:val="24"/>
        </w:rPr>
        <w:t>Д</w:t>
      </w:r>
      <w:r w:rsidRPr="00C9671E">
        <w:rPr>
          <w:rFonts w:ascii="Times New Roman" w:hAnsi="Times New Roman" w:cs="Times New Roman"/>
          <w:sz w:val="24"/>
          <w:szCs w:val="24"/>
        </w:rPr>
        <w:t>оговор. Зелени коридори функционираат низ поголемите коридори.</w:t>
      </w:r>
    </w:p>
    <w:p w14:paraId="085FE7FB" w14:textId="0F20E94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Патниот коридор X е функционален, но работите долж Коридорот X-d остануваат одложени. Изградбата на железничкиот Коридор VIII кон Бугарија се соочува со значителни одложувања, со </w:t>
      </w:r>
      <w:r>
        <w:rPr>
          <w:rFonts w:ascii="Times New Roman" w:hAnsi="Times New Roman" w:cs="Times New Roman"/>
          <w:sz w:val="24"/>
          <w:szCs w:val="24"/>
        </w:rPr>
        <w:t xml:space="preserve">што </w:t>
      </w:r>
      <w:r w:rsidRPr="00C9671E">
        <w:rPr>
          <w:rFonts w:ascii="Times New Roman" w:hAnsi="Times New Roman" w:cs="Times New Roman"/>
          <w:sz w:val="24"/>
          <w:szCs w:val="24"/>
        </w:rPr>
        <w:t xml:space="preserve">изборот на подизведувач(и) за првата и втората фаза сѐ </w:t>
      </w:r>
      <w:r w:rsidRPr="00C9671E">
        <w:rPr>
          <w:rFonts w:ascii="Times New Roman" w:hAnsi="Times New Roman" w:cs="Times New Roman"/>
          <w:sz w:val="24"/>
          <w:szCs w:val="24"/>
        </w:rPr>
        <w:lastRenderedPageBreak/>
        <w:t>уште не е финализиран и постапката за набавка за третата фаза (на границата со Бугарија кај Крива Паланка) предизвика значително одложување и претставува грижа за финансирањето од ЕУ. Потребни се дополнителни и итни напори за да се забрза напредокот во сите фази од овој железнички коридор и други приоритетни делници за основната мрежа како во железничкиот така и во патниот сообраќај. Недостатокот од соодветна политика за задржување на персоналот од страна на тела вклучени во големи инвестициски проекти значително го спречува завршувањето на стратегиските проекти. Протоколот за граничен железнички премин со Грција сѐ уште не е донесен, додека се презедоа дејства за спроведување на преостанатиот Протокол за граничен железнички премин со Косово. И двата треба да се финализираат без дополнително одложување. Не се обезбедени финансии за изградба на соодветна инфраструктура во близина на границата со Србија, на железничката станица на граничниот премин Табановце. Како и минатата година, не е постигнат напредок во донесувањето на петгодишните планови за одржување на патиштата и железниците.</w:t>
      </w:r>
    </w:p>
    <w:p w14:paraId="62533656" w14:textId="6D04896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енергетските мрежи</w:t>
      </w:r>
      <w:r w:rsidRPr="00C9671E">
        <w:rPr>
          <w:rFonts w:ascii="Times New Roman" w:hAnsi="Times New Roman" w:cs="Times New Roman"/>
          <w:sz w:val="24"/>
          <w:szCs w:val="24"/>
        </w:rPr>
        <w:t>, во тек е изградба на нова интерконекција за пренос на електрична енергија Битола-Елбасан (Албанија) од 400kV. Во фаза на спроведување е техничка помош за зајакнување на преносната мрежа во Југоисточниот Регион на Северна Македонија. Во тек се работите за изградба на гасоводот помеѓу Неготино-Битола и Скопје-Тетово-Гостивар.</w:t>
      </w:r>
    </w:p>
    <w:p w14:paraId="14533F94" w14:textId="77777777" w:rsidR="003D4454" w:rsidRPr="00C9671E" w:rsidRDefault="003D4454" w:rsidP="006E4EB0">
      <w:pPr>
        <w:pStyle w:val="Heading3"/>
      </w:pPr>
      <w:bookmarkStart w:id="264" w:name="_Toc84329802"/>
      <w:bookmarkStart w:id="265" w:name="_Toc84631604"/>
      <w:bookmarkStart w:id="266" w:name="_Toc115619814"/>
      <w:bookmarkStart w:id="267" w:name="_Toc117004185"/>
      <w:r w:rsidRPr="00C9671E">
        <w:t>Поглавје 27: Животна средина и климатски промени</w:t>
      </w:r>
      <w:bookmarkEnd w:id="264"/>
      <w:bookmarkEnd w:id="265"/>
      <w:bookmarkEnd w:id="266"/>
      <w:bookmarkEnd w:id="267"/>
      <w:r w:rsidRPr="00C9671E">
        <w:t xml:space="preserve"> </w:t>
      </w:r>
    </w:p>
    <w:p w14:paraId="58BACB82" w14:textId="77777777" w:rsidR="003D4454" w:rsidRPr="000E49DF" w:rsidRDefault="003D4454" w:rsidP="006E4EB0">
      <w:pPr>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sz w:val="24"/>
          <w:szCs w:val="24"/>
        </w:rPr>
        <w:t xml:space="preserve">ЕУ промовира силна климатска активност, </w:t>
      </w:r>
      <w:r w:rsidRPr="00201B48">
        <w:rPr>
          <w:rFonts w:ascii="Times New Roman" w:hAnsi="Times New Roman" w:cs="Times New Roman"/>
          <w:i/>
          <w:sz w:val="24"/>
          <w:szCs w:val="24"/>
        </w:rPr>
        <w:t xml:space="preserve">одржлив </w:t>
      </w:r>
      <w:r w:rsidRPr="000E49DF">
        <w:rPr>
          <w:rFonts w:ascii="Times New Roman" w:hAnsi="Times New Roman" w:cs="Times New Roman"/>
          <w:i/>
          <w:sz w:val="24"/>
          <w:szCs w:val="24"/>
        </w:rPr>
        <w:t xml:space="preserve">развој и заштита на животната средина. Правото на ЕУ содржи одредби кои се однесуваат на климатските промени, </w:t>
      </w:r>
      <w:r w:rsidRPr="000E49DF">
        <w:rPr>
          <w:rStyle w:val="jlqj4b"/>
          <w:rFonts w:ascii="Times New Roman" w:hAnsi="Times New Roman" w:cs="Times New Roman"/>
          <w:sz w:val="24"/>
          <w:szCs w:val="24"/>
        </w:rPr>
        <w:t>квалитетот на водата и воздухот</w:t>
      </w:r>
      <w:r w:rsidRPr="00C9671E">
        <w:rPr>
          <w:rFonts w:ascii="Times New Roman" w:hAnsi="Times New Roman" w:cs="Times New Roman"/>
          <w:i/>
          <w:sz w:val="24"/>
          <w:szCs w:val="24"/>
        </w:rPr>
        <w:t>, управувањето со отпад, заштитата</w:t>
      </w:r>
      <w:r w:rsidRPr="00201B48">
        <w:rPr>
          <w:rFonts w:ascii="Times New Roman" w:hAnsi="Times New Roman" w:cs="Times New Roman"/>
          <w:i/>
          <w:sz w:val="24"/>
          <w:szCs w:val="24"/>
        </w:rPr>
        <w:t xml:space="preserve"> на</w:t>
      </w:r>
      <w:r w:rsidRPr="000E49DF">
        <w:rPr>
          <w:rFonts w:ascii="Times New Roman" w:hAnsi="Times New Roman" w:cs="Times New Roman"/>
          <w:i/>
          <w:sz w:val="24"/>
          <w:szCs w:val="24"/>
        </w:rPr>
        <w:t xml:space="preserve"> природата, индустриското загадување, хемикалиите, бучавата и цивилната заштита.</w:t>
      </w:r>
    </w:p>
    <w:p w14:paraId="111E3205" w14:textId="62181BF8"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 Земјата има </w:t>
      </w:r>
      <w:r w:rsidRPr="00C9671E">
        <w:rPr>
          <w:rFonts w:ascii="Times New Roman" w:hAnsi="Times New Roman" w:cs="Times New Roman"/>
          <w:b/>
          <w:sz w:val="24"/>
          <w:szCs w:val="24"/>
        </w:rPr>
        <w:t>одредено ниво на подготвеност</w:t>
      </w:r>
      <w:r w:rsidRPr="00C9671E">
        <w:rPr>
          <w:rFonts w:ascii="Times New Roman" w:hAnsi="Times New Roman" w:cs="Times New Roman"/>
          <w:sz w:val="24"/>
          <w:szCs w:val="24"/>
        </w:rPr>
        <w:t xml:space="preserve"> во оваа област. 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во областа на заштитата на природата и во областа на климатските промени, вклучително и со подготовките и донесувањето на </w:t>
      </w:r>
      <w:r>
        <w:rPr>
          <w:rFonts w:ascii="Times New Roman" w:hAnsi="Times New Roman" w:cs="Times New Roman"/>
          <w:sz w:val="24"/>
          <w:szCs w:val="24"/>
        </w:rPr>
        <w:t>П</w:t>
      </w:r>
      <w:r w:rsidRPr="00C9671E">
        <w:rPr>
          <w:rFonts w:ascii="Times New Roman" w:hAnsi="Times New Roman" w:cs="Times New Roman"/>
          <w:sz w:val="24"/>
          <w:szCs w:val="24"/>
        </w:rPr>
        <w:t xml:space="preserve">ланот за управување за националниот парк Галичица. Сепак, спроведувањето останува проблем во сите сектори. Земјата треба значително да ги зголеми амбициите за зелената транзиција, особено во контекст на Зелената агенда за Западен Балкан. </w:t>
      </w:r>
    </w:p>
    <w:p w14:paraId="4E71B62B" w14:textId="51F5D421"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наредната година, Северна Македонија треба особено:</w:t>
      </w:r>
    </w:p>
    <w:p w14:paraId="7B666CFA" w14:textId="77777777" w:rsidR="003D4454" w:rsidRPr="00C9671E" w:rsidRDefault="003D4454" w:rsidP="003D4454">
      <w:pPr>
        <w:numPr>
          <w:ilvl w:val="0"/>
          <w:numId w:val="5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ги забрза заложбите за намалување на загадувањето на воздухот на локално и на национално ниво и за намалување на загадувањето од една точка и дифузно загадување на ресурсите на свежа вода;</w:t>
      </w:r>
    </w:p>
    <w:p w14:paraId="236FBF76" w14:textId="1C493BC7" w:rsidR="003D4454" w:rsidRPr="00C9671E" w:rsidRDefault="003D4454" w:rsidP="003D4454">
      <w:pPr>
        <w:numPr>
          <w:ilvl w:val="0"/>
          <w:numId w:val="5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 xml:space="preserve">да примени мерки за воспоставување регионален систем за управување со отпад, особено во Источниот и Североисточниот </w:t>
      </w:r>
      <w:r>
        <w:rPr>
          <w:rFonts w:ascii="Times New Roman" w:hAnsi="Times New Roman" w:cs="Times New Roman"/>
          <w:sz w:val="24"/>
          <w:szCs w:val="24"/>
        </w:rPr>
        <w:t>Р</w:t>
      </w:r>
      <w:r w:rsidRPr="00C9671E">
        <w:rPr>
          <w:rFonts w:ascii="Times New Roman" w:hAnsi="Times New Roman" w:cs="Times New Roman"/>
          <w:sz w:val="24"/>
          <w:szCs w:val="24"/>
        </w:rPr>
        <w:t>егион;</w:t>
      </w:r>
    </w:p>
    <w:p w14:paraId="1110E976" w14:textId="77777777" w:rsidR="003D4454" w:rsidRPr="00C9671E" w:rsidRDefault="003D4454" w:rsidP="003D4454">
      <w:pPr>
        <w:numPr>
          <w:ilvl w:val="0"/>
          <w:numId w:val="57"/>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426" w:hanging="426"/>
        <w:jc w:val="both"/>
        <w:rPr>
          <w:rFonts w:ascii="Times New Roman" w:hAnsi="Times New Roman" w:cs="Times New Roman"/>
          <w:sz w:val="24"/>
          <w:szCs w:val="24"/>
        </w:rPr>
      </w:pPr>
      <w:r w:rsidRPr="00C9671E">
        <w:rPr>
          <w:rFonts w:ascii="Times New Roman" w:hAnsi="Times New Roman" w:cs="Times New Roman"/>
          <w:sz w:val="24"/>
          <w:szCs w:val="24"/>
        </w:rPr>
        <w:t>да го спроведе Договорот од Париз, вклучително и донесување Закон за клима, во согласност со рамката на ЕУ 2030</w:t>
      </w:r>
    </w:p>
    <w:p w14:paraId="50D9144E"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u w:val="single"/>
        </w:rPr>
        <w:t xml:space="preserve">Животна средина </w:t>
      </w:r>
    </w:p>
    <w:p w14:paraId="32ECD645" w14:textId="2F837180"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хоризонталните прашања</w:t>
      </w:r>
      <w:r w:rsidRPr="00C9671E">
        <w:rPr>
          <w:rFonts w:ascii="Times New Roman" w:hAnsi="Times New Roman" w:cs="Times New Roman"/>
          <w:sz w:val="24"/>
          <w:szCs w:val="24"/>
        </w:rPr>
        <w:t>, административниот капацитет на сите нивоа останува слаб со недоволно човечки и финансиски ресурси за спроведување</w:t>
      </w:r>
      <w:r>
        <w:rPr>
          <w:rFonts w:ascii="Times New Roman" w:hAnsi="Times New Roman" w:cs="Times New Roman"/>
          <w:sz w:val="24"/>
          <w:szCs w:val="24"/>
        </w:rPr>
        <w:t xml:space="preserve"> и применување </w:t>
      </w:r>
      <w:r w:rsidRPr="00C9671E">
        <w:rPr>
          <w:rFonts w:ascii="Times New Roman" w:hAnsi="Times New Roman" w:cs="Times New Roman"/>
          <w:sz w:val="24"/>
          <w:szCs w:val="24"/>
        </w:rPr>
        <w:t xml:space="preserve">на постојното законодавство. Инспекциите што се извршуваат имаат слаб ефект. Нема подобрување во спроведувањето на Процена на влијанието врз животната средина, со недостатоци особено во процесите на јавни консултации и во квалитетот на извештаите. Недостатокот од транспарентност и од пристап до информации и понатаму </w:t>
      </w:r>
      <w:r w:rsidRPr="00C9671E">
        <w:rPr>
          <w:rFonts w:ascii="Times New Roman" w:hAnsi="Times New Roman" w:cs="Times New Roman"/>
          <w:sz w:val="24"/>
          <w:szCs w:val="24"/>
        </w:rPr>
        <w:lastRenderedPageBreak/>
        <w:t xml:space="preserve">се нерешени прашања. Беа донесени </w:t>
      </w:r>
      <w:r>
        <w:rPr>
          <w:rFonts w:ascii="Times New Roman" w:hAnsi="Times New Roman" w:cs="Times New Roman"/>
          <w:sz w:val="24"/>
          <w:szCs w:val="24"/>
        </w:rPr>
        <w:t>З</w:t>
      </w:r>
      <w:r w:rsidRPr="00C9671E">
        <w:rPr>
          <w:rFonts w:ascii="Times New Roman" w:hAnsi="Times New Roman" w:cs="Times New Roman"/>
          <w:sz w:val="24"/>
          <w:szCs w:val="24"/>
        </w:rPr>
        <w:t xml:space="preserve">аконот за инспекциски надзор во животната средина и одредени измени за </w:t>
      </w:r>
      <w:r>
        <w:rPr>
          <w:rFonts w:ascii="Times New Roman" w:hAnsi="Times New Roman" w:cs="Times New Roman"/>
          <w:sz w:val="24"/>
          <w:szCs w:val="24"/>
        </w:rPr>
        <w:t>З</w:t>
      </w:r>
      <w:r w:rsidRPr="00C9671E">
        <w:rPr>
          <w:rFonts w:ascii="Times New Roman" w:hAnsi="Times New Roman" w:cs="Times New Roman"/>
          <w:sz w:val="24"/>
          <w:szCs w:val="24"/>
        </w:rPr>
        <w:t xml:space="preserve">аконот за животната средина. Продолжија активностите во областа на обврски за </w:t>
      </w:r>
      <w:r>
        <w:rPr>
          <w:rFonts w:ascii="Times New Roman" w:hAnsi="Times New Roman" w:cs="Times New Roman"/>
          <w:sz w:val="24"/>
          <w:szCs w:val="24"/>
        </w:rPr>
        <w:t xml:space="preserve"> одговорност за</w:t>
      </w:r>
      <w:r w:rsidRPr="00C9671E">
        <w:rPr>
          <w:rFonts w:ascii="Times New Roman" w:hAnsi="Times New Roman" w:cs="Times New Roman"/>
          <w:sz w:val="24"/>
          <w:szCs w:val="24"/>
        </w:rPr>
        <w:t xml:space="preserve"> животната средина.</w:t>
      </w:r>
    </w:p>
    <w:p w14:paraId="42E4D80D" w14:textId="5BCD3BF6"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квалитетот на воздухот</w:t>
      </w:r>
      <w:r w:rsidRPr="00C9671E">
        <w:rPr>
          <w:rFonts w:ascii="Times New Roman" w:hAnsi="Times New Roman" w:cs="Times New Roman"/>
          <w:sz w:val="24"/>
          <w:szCs w:val="24"/>
        </w:rPr>
        <w:t xml:space="preserve">, измените на законот за квалитет на амбиентниот воздух беа донесени во јули 2021 година. Продолжуваат напорите за подобрување на инвентарот на емисии на загадувачи на воздухот. Изготвен е Планот за квалитет на воздухот за 2021 година за Битола. Програмата за намалување на загадувањето на воздухот за 2021 година и подготовката на четири плана се започнати во август и во октомври 2022 година, заедно со </w:t>
      </w:r>
      <w:r>
        <w:rPr>
          <w:rFonts w:ascii="Times New Roman" w:hAnsi="Times New Roman" w:cs="Times New Roman"/>
          <w:sz w:val="24"/>
          <w:szCs w:val="24"/>
        </w:rPr>
        <w:t xml:space="preserve">пет </w:t>
      </w:r>
      <w:r w:rsidRPr="00C9671E">
        <w:rPr>
          <w:rFonts w:ascii="Times New Roman" w:hAnsi="Times New Roman" w:cs="Times New Roman"/>
          <w:sz w:val="24"/>
          <w:szCs w:val="24"/>
        </w:rPr>
        <w:t>Катаст</w:t>
      </w:r>
      <w:r>
        <w:rPr>
          <w:rFonts w:ascii="Times New Roman" w:hAnsi="Times New Roman" w:cs="Times New Roman"/>
          <w:sz w:val="24"/>
          <w:szCs w:val="24"/>
        </w:rPr>
        <w:t>ри</w:t>
      </w:r>
      <w:r w:rsidRPr="00C9671E">
        <w:rPr>
          <w:rFonts w:ascii="Times New Roman" w:hAnsi="Times New Roman" w:cs="Times New Roman"/>
          <w:sz w:val="24"/>
          <w:szCs w:val="24"/>
        </w:rPr>
        <w:t xml:space="preserve"> на загадувачи на воздухот. И покрај направениот напредок, квалитетот на воздухот останува главен проблем во големите градови. Во </w:t>
      </w:r>
      <w:r>
        <w:rPr>
          <w:rFonts w:ascii="Times New Roman" w:hAnsi="Times New Roman" w:cs="Times New Roman"/>
          <w:sz w:val="24"/>
          <w:szCs w:val="24"/>
        </w:rPr>
        <w:t>о</w:t>
      </w:r>
      <w:r w:rsidRPr="00C9671E">
        <w:rPr>
          <w:rFonts w:ascii="Times New Roman" w:hAnsi="Times New Roman" w:cs="Times New Roman"/>
          <w:sz w:val="24"/>
          <w:szCs w:val="24"/>
        </w:rPr>
        <w:t>пштините Берово и Прилеп беа поставени две автоматски станици за следење на квалитетот на амбиентниот воздух, заедно со замените на мерните инструменти на неколку веќе постоечки станици за следење.</w:t>
      </w:r>
    </w:p>
    <w:p w14:paraId="60415365" w14:textId="6B8231F8"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управувањето со отпад</w:t>
      </w:r>
      <w:r w:rsidRPr="00C9671E">
        <w:rPr>
          <w:rFonts w:ascii="Times New Roman" w:hAnsi="Times New Roman" w:cs="Times New Roman"/>
          <w:sz w:val="24"/>
          <w:szCs w:val="24"/>
        </w:rPr>
        <w:t xml:space="preserve">, донесен е </w:t>
      </w:r>
      <w:r>
        <w:rPr>
          <w:rFonts w:ascii="Times New Roman" w:hAnsi="Times New Roman" w:cs="Times New Roman"/>
          <w:sz w:val="24"/>
          <w:szCs w:val="24"/>
        </w:rPr>
        <w:t>Н</w:t>
      </w:r>
      <w:r w:rsidRPr="00C9671E">
        <w:rPr>
          <w:rFonts w:ascii="Times New Roman" w:hAnsi="Times New Roman" w:cs="Times New Roman"/>
          <w:sz w:val="24"/>
          <w:szCs w:val="24"/>
        </w:rPr>
        <w:t xml:space="preserve">ационалниот план за управување со отпад (за периодот 2021-2031 година). Националниот план за спречување на создавање отпад (за периодот 2021-2027 година) е изготвен, но сè уште не е донесен. Започнати се активности за создавање регионален систем за управување со отпад во неколку региони. Дополнително е одложено воспоставувањето на регионален систем за управување со отпад во </w:t>
      </w:r>
      <w:r w:rsidRPr="006828D6">
        <w:rPr>
          <w:rFonts w:ascii="Times New Roman" w:hAnsi="Times New Roman" w:cs="Times New Roman"/>
          <w:sz w:val="24"/>
          <w:szCs w:val="24"/>
        </w:rPr>
        <w:t>Североисточните и Источните Региони</w:t>
      </w:r>
      <w:r w:rsidRPr="00C9671E">
        <w:rPr>
          <w:rFonts w:ascii="Times New Roman" w:hAnsi="Times New Roman" w:cs="Times New Roman"/>
          <w:sz w:val="24"/>
          <w:szCs w:val="24"/>
        </w:rPr>
        <w:t xml:space="preserve"> поради отпорот на Општина Свети Николе да го прифати централниот капацитет за управување со отпад. Започнаа активности за затворање на неусогласени депонии во Источниот Регион. Регионалните структури на управување со отпад сè уште не се целосно функционални. Посебното собирање текови на отпад и економските инструменти за промовирање рециклирањето, повторната употреба и спречувањето за создавање отпад остануваат ограничени. Подготвителните работи за рехабилитација на малата депонија во локалитетот ОХИС беа финализирани и започна процесот на чистење.</w:t>
      </w:r>
    </w:p>
    <w:p w14:paraId="45294061" w14:textId="1D10726B"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управување со квалитетот на водата</w:t>
      </w:r>
      <w:r w:rsidRPr="00C9671E">
        <w:rPr>
          <w:rFonts w:ascii="Times New Roman" w:hAnsi="Times New Roman" w:cs="Times New Roman"/>
          <w:sz w:val="24"/>
          <w:szCs w:val="24"/>
        </w:rPr>
        <w:t>, усогласување со правото на ЕУ</w:t>
      </w:r>
      <w:r>
        <w:rPr>
          <w:rFonts w:ascii="Times New Roman" w:hAnsi="Times New Roman" w:cs="Times New Roman"/>
          <w:sz w:val="24"/>
          <w:szCs w:val="24"/>
        </w:rPr>
        <w:t xml:space="preserve"> продолжува</w:t>
      </w:r>
      <w:r w:rsidRPr="00C9671E">
        <w:rPr>
          <w:rFonts w:ascii="Times New Roman" w:hAnsi="Times New Roman" w:cs="Times New Roman"/>
          <w:sz w:val="24"/>
          <w:szCs w:val="24"/>
        </w:rPr>
        <w:t>. Постигнат е ограничен напредок кон спроведување и применување на постоечкото законодавство. Катастарот за површински води, чија цел е подобро управување и известување за ресурсите на површинската вода е во финална фаза на изготвување. Именувани се совети за речните</w:t>
      </w:r>
      <w:r>
        <w:rPr>
          <w:rFonts w:ascii="Times New Roman" w:hAnsi="Times New Roman" w:cs="Times New Roman"/>
          <w:sz w:val="24"/>
          <w:szCs w:val="24"/>
        </w:rPr>
        <w:t xml:space="preserve"> сливови</w:t>
      </w:r>
      <w:r w:rsidRPr="00C9671E">
        <w:rPr>
          <w:rFonts w:ascii="Times New Roman" w:hAnsi="Times New Roman" w:cs="Times New Roman"/>
          <w:sz w:val="24"/>
          <w:szCs w:val="24"/>
        </w:rPr>
        <w:t xml:space="preserve">, но тие сè уште не се оперативни. Не беше постигнат опиплив напредок кон финализирање на плановите за управување со речните </w:t>
      </w:r>
      <w:r>
        <w:rPr>
          <w:rFonts w:ascii="Times New Roman" w:hAnsi="Times New Roman" w:cs="Times New Roman"/>
          <w:sz w:val="24"/>
          <w:szCs w:val="24"/>
        </w:rPr>
        <w:t>сливови</w:t>
      </w:r>
      <w:r w:rsidRPr="00C9671E">
        <w:rPr>
          <w:rFonts w:ascii="Times New Roman" w:hAnsi="Times New Roman" w:cs="Times New Roman"/>
          <w:sz w:val="24"/>
          <w:szCs w:val="24"/>
        </w:rPr>
        <w:t xml:space="preserve">. Не беше постигнат напредок во означување области чувствителни на еутрофикација. Владата го вклучи воспоставувањето инфраструктура за собирање и третман на отпадни води како една од мерките за структурни реформи во Програмата за економски реформи за периодот 2022-2024 година. Брзината на изготвување и спроведување на останатите поголеми проекти останува предизвик. </w:t>
      </w:r>
    </w:p>
    <w:p w14:paraId="5A979849" w14:textId="1B0231AA"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добар напредок во однос на </w:t>
      </w:r>
      <w:r w:rsidRPr="00C9671E">
        <w:rPr>
          <w:rFonts w:ascii="Times New Roman" w:hAnsi="Times New Roman" w:cs="Times New Roman"/>
          <w:b/>
          <w:sz w:val="24"/>
          <w:szCs w:val="24"/>
        </w:rPr>
        <w:t xml:space="preserve">заштита на природата. </w:t>
      </w:r>
      <w:r w:rsidRPr="00C9671E">
        <w:rPr>
          <w:rFonts w:ascii="Times New Roman" w:hAnsi="Times New Roman" w:cs="Times New Roman"/>
          <w:sz w:val="24"/>
          <w:szCs w:val="24"/>
        </w:rPr>
        <w:t>Нацрт-законот за заштита на природата, кој се стреми кон усогласување со директивите за птици и живеалишта, е изготвен. Вкупниот процент на заштитени области се зголеми на 13,9% од територијата на државата. Дополнителен напредок е постигнат во студиите за валоризација, плановите за управување и изработката на национални црвени листи. Охридското Езеро заедно со Студенчишко Блато беа вклучени во листата на Рамсарска</w:t>
      </w:r>
      <w:r>
        <w:rPr>
          <w:rFonts w:ascii="Times New Roman" w:hAnsi="Times New Roman" w:cs="Times New Roman"/>
          <w:sz w:val="24"/>
          <w:szCs w:val="24"/>
        </w:rPr>
        <w:t>та</w:t>
      </w:r>
      <w:r w:rsidRPr="00C9671E">
        <w:rPr>
          <w:rFonts w:ascii="Times New Roman" w:hAnsi="Times New Roman" w:cs="Times New Roman"/>
          <w:sz w:val="24"/>
          <w:szCs w:val="24"/>
        </w:rPr>
        <w:t xml:space="preserve"> </w:t>
      </w:r>
      <w:r>
        <w:rPr>
          <w:rFonts w:ascii="Times New Roman" w:hAnsi="Times New Roman" w:cs="Times New Roman"/>
          <w:sz w:val="24"/>
          <w:szCs w:val="24"/>
        </w:rPr>
        <w:t>К</w:t>
      </w:r>
      <w:r w:rsidRPr="00C9671E">
        <w:rPr>
          <w:rFonts w:ascii="Times New Roman" w:hAnsi="Times New Roman" w:cs="Times New Roman"/>
          <w:sz w:val="24"/>
          <w:szCs w:val="24"/>
        </w:rPr>
        <w:t xml:space="preserve">онвенција. </w:t>
      </w:r>
    </w:p>
    <w:p w14:paraId="04BA1A90" w14:textId="310A77F5"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Треба да се забрзаат активностите за повторно прогласување на статусот на </w:t>
      </w:r>
      <w:r>
        <w:rPr>
          <w:rFonts w:ascii="Times New Roman" w:hAnsi="Times New Roman" w:cs="Times New Roman"/>
          <w:sz w:val="24"/>
          <w:szCs w:val="24"/>
        </w:rPr>
        <w:t>Н</w:t>
      </w:r>
      <w:r w:rsidRPr="00C9671E">
        <w:rPr>
          <w:rFonts w:ascii="Times New Roman" w:hAnsi="Times New Roman" w:cs="Times New Roman"/>
          <w:sz w:val="24"/>
          <w:szCs w:val="24"/>
        </w:rPr>
        <w:t>ационален парк Маврово</w:t>
      </w:r>
      <w:r w:rsidR="00FF030B">
        <w:rPr>
          <w:rFonts w:ascii="Times New Roman" w:hAnsi="Times New Roman" w:cs="Times New Roman"/>
          <w:sz w:val="24"/>
          <w:szCs w:val="24"/>
        </w:rPr>
        <w:t xml:space="preserve"> </w:t>
      </w:r>
      <w:r w:rsidRPr="00C9671E">
        <w:rPr>
          <w:rFonts w:ascii="Times New Roman" w:hAnsi="Times New Roman" w:cs="Times New Roman"/>
          <w:sz w:val="24"/>
          <w:szCs w:val="24"/>
        </w:rPr>
        <w:t xml:space="preserve">како приоритет за да се заштити понатамошното влошување на неговите природни вредности. </w:t>
      </w:r>
    </w:p>
    <w:p w14:paraId="7299CB52" w14:textId="077D0F65" w:rsidR="003D4454" w:rsidRPr="00C9671E" w:rsidRDefault="003D4454" w:rsidP="006E4EB0">
      <w:pPr>
        <w:shd w:val="solid" w:color="FFFFFF" w:fill="auto"/>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Во август 2021 година, Комитетот за светско наследство ѝ даде на земјата дополнителни две години за спроведување на препораките на УНЕСКО за природно и културно наследство на Охридскиот Регион. Спроведувањето на препораките останува недоволно и бара посилна посветеност и реакција од државните и локалните власти. Во декември 2021 година, Постојаниот Комитет на Бернската конвенција донесе одлука да отвори случај за </w:t>
      </w:r>
      <w:r>
        <w:rPr>
          <w:rFonts w:ascii="Times New Roman" w:hAnsi="Times New Roman" w:cs="Times New Roman"/>
          <w:sz w:val="24"/>
          <w:szCs w:val="24"/>
        </w:rPr>
        <w:t>Е</w:t>
      </w:r>
      <w:r w:rsidRPr="00C9671E">
        <w:rPr>
          <w:rFonts w:ascii="Times New Roman" w:hAnsi="Times New Roman" w:cs="Times New Roman"/>
          <w:sz w:val="24"/>
          <w:szCs w:val="24"/>
        </w:rPr>
        <w:t>мералд подрачја</w:t>
      </w:r>
      <w:r>
        <w:rPr>
          <w:rFonts w:ascii="Times New Roman" w:hAnsi="Times New Roman" w:cs="Times New Roman"/>
          <w:sz w:val="24"/>
          <w:szCs w:val="24"/>
        </w:rPr>
        <w:t>та</w:t>
      </w:r>
      <w:r w:rsidRPr="00C9671E">
        <w:rPr>
          <w:rFonts w:ascii="Times New Roman" w:hAnsi="Times New Roman" w:cs="Times New Roman"/>
          <w:sz w:val="24"/>
          <w:szCs w:val="24"/>
        </w:rPr>
        <w:t xml:space="preserve"> </w:t>
      </w:r>
      <w:r>
        <w:rPr>
          <w:rFonts w:ascii="Times New Roman" w:hAnsi="Times New Roman" w:cs="Times New Roman"/>
          <w:sz w:val="24"/>
          <w:szCs w:val="24"/>
        </w:rPr>
        <w:t xml:space="preserve">на </w:t>
      </w:r>
      <w:r w:rsidRPr="00C9671E">
        <w:rPr>
          <w:rFonts w:ascii="Times New Roman" w:hAnsi="Times New Roman" w:cs="Times New Roman"/>
          <w:sz w:val="24"/>
          <w:szCs w:val="24"/>
        </w:rPr>
        <w:t xml:space="preserve">Охридско Езеро и </w:t>
      </w:r>
      <w:r>
        <w:rPr>
          <w:rFonts w:ascii="Times New Roman" w:hAnsi="Times New Roman" w:cs="Times New Roman"/>
          <w:sz w:val="24"/>
          <w:szCs w:val="24"/>
        </w:rPr>
        <w:t>Националниот</w:t>
      </w:r>
      <w:r w:rsidRPr="00C9671E">
        <w:rPr>
          <w:rFonts w:ascii="Times New Roman" w:hAnsi="Times New Roman" w:cs="Times New Roman"/>
          <w:sz w:val="24"/>
          <w:szCs w:val="24"/>
        </w:rPr>
        <w:t xml:space="preserve"> парк Галичица како резултат на прашања покренати за влијанието од неконтролираните инфраструктурни проекти долж брегот. </w:t>
      </w:r>
    </w:p>
    <w:p w14:paraId="1119EDCC"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индустриското загадување и управување со ризик</w:t>
      </w:r>
      <w:r w:rsidRPr="00C9671E">
        <w:rPr>
          <w:rFonts w:ascii="Times New Roman" w:hAnsi="Times New Roman" w:cs="Times New Roman"/>
          <w:sz w:val="24"/>
          <w:szCs w:val="24"/>
        </w:rPr>
        <w:t>, Законот за индустриски емисии сè уште се чека да се донесе. Загрижуваат недоволната процена на ефектот врз животната средина и јавните консултации, особено за дозволи тип Б. Не е постигнат напредок за одговорност на загадувачите, што влијае негативно на воспоставување систем за заштита на индустриски и хемиски несреќи. Потребни се повеќе напори за усогласување со Директивата Севесо III, Регулативите на ЕУ</w:t>
      </w:r>
      <w:r>
        <w:rPr>
          <w:rFonts w:ascii="Times New Roman" w:hAnsi="Times New Roman" w:cs="Times New Roman"/>
          <w:sz w:val="24"/>
          <w:szCs w:val="24"/>
        </w:rPr>
        <w:t xml:space="preserve"> за еко-ознаки</w:t>
      </w:r>
      <w:r w:rsidRPr="00C9671E">
        <w:rPr>
          <w:rFonts w:ascii="Times New Roman" w:hAnsi="Times New Roman" w:cs="Times New Roman"/>
          <w:sz w:val="24"/>
          <w:szCs w:val="24"/>
        </w:rPr>
        <w:t xml:space="preserve"> и системот за ревизија на управувањето со животната средина.</w:t>
      </w:r>
    </w:p>
    <w:p w14:paraId="2AC458E4" w14:textId="7D431C43" w:rsidR="003D4454" w:rsidRPr="00C9671E" w:rsidRDefault="003D4454" w:rsidP="006E4EB0">
      <w:pPr>
        <w:autoSpaceDE w:val="0"/>
        <w:autoSpaceDN w:val="0"/>
        <w:adjustRightInd w:val="0"/>
        <w:spacing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 xml:space="preserve">Во областа на </w:t>
      </w:r>
      <w:r w:rsidRPr="00C9671E">
        <w:rPr>
          <w:rFonts w:ascii="Times New Roman" w:hAnsi="Times New Roman" w:cs="Times New Roman"/>
          <w:b/>
          <w:sz w:val="24"/>
          <w:szCs w:val="24"/>
        </w:rPr>
        <w:t>хемикалиите</w:t>
      </w:r>
      <w:r w:rsidRPr="00C9671E">
        <w:rPr>
          <w:rFonts w:ascii="Times New Roman" w:hAnsi="Times New Roman" w:cs="Times New Roman"/>
          <w:sz w:val="24"/>
          <w:szCs w:val="24"/>
        </w:rPr>
        <w:t xml:space="preserve">, не е регистриран никаков напредок во процената на ризик од штетни дејствија на хемикалии за човековото здравје и за животната средина и во спроведувањето на мерките утврдени во </w:t>
      </w:r>
      <w:r>
        <w:rPr>
          <w:rFonts w:ascii="Times New Roman" w:hAnsi="Times New Roman" w:cs="Times New Roman"/>
          <w:sz w:val="24"/>
          <w:szCs w:val="24"/>
        </w:rPr>
        <w:t>И</w:t>
      </w:r>
      <w:r w:rsidRPr="00C9671E">
        <w:rPr>
          <w:rFonts w:ascii="Times New Roman" w:hAnsi="Times New Roman" w:cs="Times New Roman"/>
          <w:sz w:val="24"/>
          <w:szCs w:val="24"/>
        </w:rPr>
        <w:t>звештајот за процена на подготвеност. Беа донесени три нови регулативи за да се овозможи забрзан распоред на фаз</w:t>
      </w:r>
      <w:r>
        <w:rPr>
          <w:rFonts w:ascii="Times New Roman" w:hAnsi="Times New Roman" w:cs="Times New Roman"/>
          <w:sz w:val="24"/>
          <w:szCs w:val="24"/>
        </w:rPr>
        <w:t xml:space="preserve">но исфрлање на </w:t>
      </w:r>
      <w:r w:rsidRPr="00C9671E">
        <w:rPr>
          <w:rFonts w:ascii="Times New Roman" w:hAnsi="Times New Roman" w:cs="Times New Roman"/>
          <w:sz w:val="24"/>
          <w:szCs w:val="24"/>
        </w:rPr>
        <w:t xml:space="preserve"> ХЦФЦ. </w:t>
      </w:r>
    </w:p>
    <w:p w14:paraId="4992FBFE"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Нема никакво подобрување во областа на </w:t>
      </w:r>
      <w:r w:rsidRPr="00C9671E">
        <w:rPr>
          <w:rFonts w:ascii="Times New Roman" w:hAnsi="Times New Roman" w:cs="Times New Roman"/>
          <w:b/>
          <w:sz w:val="24"/>
          <w:szCs w:val="24"/>
        </w:rPr>
        <w:t>загадувањето со бучава</w:t>
      </w:r>
      <w:r w:rsidRPr="00C9671E">
        <w:rPr>
          <w:rFonts w:ascii="Times New Roman" w:hAnsi="Times New Roman" w:cs="Times New Roman"/>
          <w:sz w:val="24"/>
          <w:szCs w:val="24"/>
        </w:rPr>
        <w:t xml:space="preserve"> за време на извештајниот период.</w:t>
      </w:r>
      <w:r w:rsidRPr="00C9671E">
        <w:rPr>
          <w:rFonts w:ascii="Times New Roman" w:hAnsi="Times New Roman" w:cs="Times New Roman"/>
          <w:b/>
          <w:sz w:val="24"/>
          <w:szCs w:val="24"/>
        </w:rPr>
        <w:t xml:space="preserve"> </w:t>
      </w:r>
    </w:p>
    <w:p w14:paraId="26DA1EF5" w14:textId="385854DD"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цивилната заштита</w:t>
      </w:r>
      <w:r w:rsidRPr="00C9671E">
        <w:rPr>
          <w:rFonts w:ascii="Times New Roman" w:hAnsi="Times New Roman" w:cs="Times New Roman"/>
          <w:sz w:val="24"/>
          <w:szCs w:val="24"/>
        </w:rPr>
        <w:t xml:space="preserve">, беше финализирана новата </w:t>
      </w:r>
      <w:r>
        <w:rPr>
          <w:rFonts w:ascii="Times New Roman" w:hAnsi="Times New Roman" w:cs="Times New Roman"/>
          <w:sz w:val="24"/>
          <w:szCs w:val="24"/>
        </w:rPr>
        <w:t>Н</w:t>
      </w:r>
      <w:r w:rsidRPr="00C9671E">
        <w:rPr>
          <w:rFonts w:ascii="Times New Roman" w:hAnsi="Times New Roman" w:cs="Times New Roman"/>
          <w:sz w:val="24"/>
          <w:szCs w:val="24"/>
        </w:rPr>
        <w:t xml:space="preserve">ационална стратегија за заштита и спасување за периодот 2022-2025 година. Во однос на Механизмот за цивилна заштита на Унијата (УЦПМ), Северна Македонија е веќе земја учесничка. Државата го достави бараното резиме за процена на национални ризици во март 2022 година. Беа преземени понатамошни чекори за финализирање на техничката врска со Заедничкиот комуникациски и информативен систем за вонредни состојби на Комисијата (ЦЕЦИС). Пожарите и кризата на КОВИД-19 ја истакнаа потребата од зајакнување на правната рамка и на институционалните капацитети на органите за цивилна заштита. </w:t>
      </w:r>
    </w:p>
    <w:p w14:paraId="18E2751F" w14:textId="77777777" w:rsidR="003D4454" w:rsidRPr="00C9671E" w:rsidRDefault="003D4454" w:rsidP="006E4EB0">
      <w:pPr>
        <w:spacing w:after="120" w:line="240" w:lineRule="auto"/>
        <w:jc w:val="both"/>
        <w:rPr>
          <w:rFonts w:ascii="Times New Roman" w:hAnsi="Times New Roman" w:cs="Times New Roman"/>
          <w:sz w:val="24"/>
          <w:szCs w:val="24"/>
          <w:u w:val="single"/>
        </w:rPr>
      </w:pPr>
      <w:r w:rsidRPr="00C9671E">
        <w:rPr>
          <w:rFonts w:ascii="Times New Roman" w:hAnsi="Times New Roman" w:cs="Times New Roman"/>
          <w:sz w:val="24"/>
          <w:szCs w:val="24"/>
          <w:u w:val="single"/>
        </w:rPr>
        <w:t>Климатски промени</w:t>
      </w:r>
    </w:p>
    <w:p w14:paraId="42B3F11E" w14:textId="26D27DAB"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септември 2021 година беа донесени </w:t>
      </w:r>
      <w:r>
        <w:rPr>
          <w:rFonts w:ascii="Times New Roman" w:hAnsi="Times New Roman" w:cs="Times New Roman"/>
          <w:sz w:val="24"/>
          <w:szCs w:val="24"/>
        </w:rPr>
        <w:t>Д</w:t>
      </w:r>
      <w:r w:rsidRPr="00C9671E">
        <w:rPr>
          <w:rFonts w:ascii="Times New Roman" w:hAnsi="Times New Roman" w:cs="Times New Roman"/>
          <w:sz w:val="24"/>
          <w:szCs w:val="24"/>
        </w:rPr>
        <w:t xml:space="preserve">олгорочната </w:t>
      </w:r>
      <w:r>
        <w:rPr>
          <w:rFonts w:ascii="Times New Roman" w:hAnsi="Times New Roman" w:cs="Times New Roman"/>
          <w:sz w:val="24"/>
          <w:szCs w:val="24"/>
        </w:rPr>
        <w:t>с</w:t>
      </w:r>
      <w:r w:rsidRPr="00C9671E">
        <w:rPr>
          <w:rFonts w:ascii="Times New Roman" w:hAnsi="Times New Roman" w:cs="Times New Roman"/>
          <w:sz w:val="24"/>
          <w:szCs w:val="24"/>
        </w:rPr>
        <w:t xml:space="preserve">тратегија за климатска акција и нејзиниот акциски план. Неколку документи беа изготвени како алатки за поддршка за спроведувањето на </w:t>
      </w:r>
      <w:r>
        <w:rPr>
          <w:rFonts w:ascii="Times New Roman" w:hAnsi="Times New Roman" w:cs="Times New Roman"/>
          <w:sz w:val="24"/>
          <w:szCs w:val="24"/>
        </w:rPr>
        <w:t>ревидиран Н</w:t>
      </w:r>
      <w:r w:rsidRPr="00C9671E">
        <w:rPr>
          <w:rFonts w:ascii="Times New Roman" w:hAnsi="Times New Roman" w:cs="Times New Roman"/>
          <w:sz w:val="24"/>
          <w:szCs w:val="24"/>
        </w:rPr>
        <w:t>ационал</w:t>
      </w:r>
      <w:r>
        <w:rPr>
          <w:rFonts w:ascii="Times New Roman" w:hAnsi="Times New Roman" w:cs="Times New Roman"/>
          <w:sz w:val="24"/>
          <w:szCs w:val="24"/>
        </w:rPr>
        <w:t>е</w:t>
      </w:r>
      <w:r w:rsidRPr="00C9671E">
        <w:rPr>
          <w:rFonts w:ascii="Times New Roman" w:hAnsi="Times New Roman" w:cs="Times New Roman"/>
          <w:sz w:val="24"/>
          <w:szCs w:val="24"/>
        </w:rPr>
        <w:t>н  придонес</w:t>
      </w:r>
      <w:r>
        <w:rPr>
          <w:rFonts w:ascii="Times New Roman" w:hAnsi="Times New Roman" w:cs="Times New Roman"/>
          <w:sz w:val="24"/>
          <w:szCs w:val="24"/>
        </w:rPr>
        <w:t xml:space="preserve"> за климатски промени</w:t>
      </w:r>
      <w:r w:rsidRPr="00C9671E">
        <w:rPr>
          <w:rFonts w:ascii="Times New Roman" w:hAnsi="Times New Roman" w:cs="Times New Roman"/>
          <w:sz w:val="24"/>
          <w:szCs w:val="24"/>
        </w:rPr>
        <w:t>. Продолжи работата за ажурирање на инвентарот на стакленички гасови, како и активностите за развивање платформа за следење, известување и верификација. На 31 мај беше донесен Националниот план за енергија и клима. Останува да се донесе Законот за климатска акција. И покрај преземените заложби капацитетот во однос на човечки и на финансиски ресурси останува слаб.</w:t>
      </w:r>
    </w:p>
    <w:p w14:paraId="0C35D0FC" w14:textId="77777777" w:rsidR="003D4454" w:rsidRPr="00C9671E" w:rsidRDefault="003D4454" w:rsidP="006E4EB0">
      <w:pPr>
        <w:pStyle w:val="Heading2"/>
        <w:rPr>
          <w:rFonts w:eastAsia="Calibri"/>
        </w:rPr>
      </w:pPr>
      <w:bookmarkStart w:id="268" w:name="_Toc84631605"/>
      <w:bookmarkStart w:id="269" w:name="_Toc84329803"/>
      <w:bookmarkStart w:id="270" w:name="_Toc115619815"/>
      <w:bookmarkStart w:id="271" w:name="_Toc117004186"/>
      <w:r w:rsidRPr="00C9671E">
        <w:t>Кластер 5: Ресурси, земјоделство и кохезија</w:t>
      </w:r>
      <w:bookmarkEnd w:id="268"/>
      <w:bookmarkEnd w:id="269"/>
      <w:bookmarkEnd w:id="270"/>
      <w:bookmarkEnd w:id="271"/>
      <w:r w:rsidRPr="00C9671E">
        <w:t xml:space="preserve"> </w:t>
      </w:r>
    </w:p>
    <w:p w14:paraId="079F1929" w14:textId="51757723"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bookmarkStart w:id="272" w:name="_Toc84631606"/>
      <w:bookmarkStart w:id="273" w:name="_Toc84329804"/>
      <w:r w:rsidRPr="00C9671E">
        <w:rPr>
          <w:rFonts w:ascii="Times New Roman" w:hAnsi="Times New Roman" w:cs="Times New Roman"/>
          <w:sz w:val="24"/>
          <w:szCs w:val="24"/>
        </w:rPr>
        <w:t xml:space="preserve">Кластерот 5 за ресурси, земјоделство и кохезија опфаќа: земјоделство и рурален развој (поглавје 11); безбедност на храна, ветеринарна и фитосанитарна политика (поглавје 12); рибарство (поглавје 13); регионална политика и координација на структурните инструменти (поглавје 22); финансиски и буџетски одредби (поглавје 33). Северна Македонија е умерено подготвена во повеќе области од Кластер 5. Таа постигна добро ниво на подготовка во областа на безбедност на храна, ветеринарна и фитосанитарна </w:t>
      </w:r>
      <w:r w:rsidRPr="00C9671E">
        <w:rPr>
          <w:rFonts w:ascii="Times New Roman" w:hAnsi="Times New Roman" w:cs="Times New Roman"/>
          <w:sz w:val="24"/>
          <w:szCs w:val="24"/>
        </w:rPr>
        <w:lastRenderedPageBreak/>
        <w:t xml:space="preserve">политика и е во рана фаза на подготовка на финансиски и буџетски одредби. За време на извештајниот период, беше постигнат одреден напредок во земјоделскиот и руралниот развој и во безбедноста на храна, ветеринарната и фитосанитарната политика. Меѓутоа, потребни се </w:t>
      </w:r>
      <w:r>
        <w:rPr>
          <w:rFonts w:ascii="Times New Roman" w:hAnsi="Times New Roman" w:cs="Times New Roman"/>
          <w:sz w:val="24"/>
          <w:szCs w:val="24"/>
        </w:rPr>
        <w:t>дополнителни</w:t>
      </w:r>
      <w:r w:rsidRPr="00C9671E">
        <w:rPr>
          <w:rFonts w:ascii="Times New Roman" w:hAnsi="Times New Roman" w:cs="Times New Roman"/>
          <w:sz w:val="24"/>
          <w:szCs w:val="24"/>
        </w:rPr>
        <w:t xml:space="preserve"> напори, особено во областите </w:t>
      </w:r>
      <w:r w:rsidRPr="0018380C">
        <w:rPr>
          <w:rFonts w:ascii="Times New Roman" w:hAnsi="Times New Roman" w:cs="Times New Roman"/>
          <w:sz w:val="24"/>
          <w:szCs w:val="24"/>
        </w:rPr>
        <w:t>каде има ограничен напредок или нема</w:t>
      </w:r>
      <w:r>
        <w:rPr>
          <w:rFonts w:ascii="Times New Roman" w:hAnsi="Times New Roman" w:cs="Times New Roman"/>
          <w:sz w:val="24"/>
          <w:szCs w:val="24"/>
        </w:rPr>
        <w:t xml:space="preserve"> </w:t>
      </w:r>
      <w:r w:rsidRPr="0018380C">
        <w:rPr>
          <w:rFonts w:ascii="Times New Roman" w:hAnsi="Times New Roman" w:cs="Times New Roman"/>
          <w:sz w:val="24"/>
          <w:szCs w:val="24"/>
        </w:rPr>
        <w:t>напредок како што се</w:t>
      </w:r>
      <w:r w:rsidRPr="0018380C" w:rsidDel="0018380C">
        <w:rPr>
          <w:rFonts w:ascii="Times New Roman" w:hAnsi="Times New Roman" w:cs="Times New Roman"/>
          <w:sz w:val="24"/>
          <w:szCs w:val="24"/>
        </w:rPr>
        <w:t xml:space="preserve"> </w:t>
      </w:r>
      <w:r w:rsidRPr="00C9671E">
        <w:rPr>
          <w:rFonts w:ascii="Times New Roman" w:hAnsi="Times New Roman" w:cs="Times New Roman"/>
          <w:sz w:val="24"/>
          <w:szCs w:val="24"/>
        </w:rPr>
        <w:t>рибарството, финансиските и буџетските одредби, регионалната политика и координацијата на структурните инструменти.</w:t>
      </w:r>
    </w:p>
    <w:p w14:paraId="7D94E38D" w14:textId="77777777" w:rsidR="003D4454" w:rsidRPr="00C9671E" w:rsidRDefault="003D4454" w:rsidP="006E4EB0">
      <w:pPr>
        <w:pStyle w:val="Heading3"/>
      </w:pPr>
      <w:bookmarkStart w:id="274" w:name="_Toc115619816"/>
      <w:bookmarkStart w:id="275" w:name="_Toc117004187"/>
      <w:r w:rsidRPr="00C9671E">
        <w:t>Поглавје 11: Земјоделски и рурален развој</w:t>
      </w:r>
      <w:bookmarkEnd w:id="272"/>
      <w:bookmarkEnd w:id="274"/>
      <w:bookmarkEnd w:id="275"/>
      <w:r w:rsidRPr="00C9671E">
        <w:t xml:space="preserve"> </w:t>
      </w:r>
      <w:bookmarkEnd w:id="273"/>
    </w:p>
    <w:p w14:paraId="53EA9820"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bCs/>
          <w:i/>
          <w:sz w:val="24"/>
          <w:szCs w:val="24"/>
        </w:rPr>
      </w:pPr>
      <w:r w:rsidRPr="00C9671E">
        <w:rPr>
          <w:rFonts w:ascii="Times New Roman" w:hAnsi="Times New Roman" w:cs="Times New Roman"/>
          <w:i/>
          <w:sz w:val="24"/>
          <w:szCs w:val="24"/>
        </w:rPr>
        <w:t>Со заедничката земјоделска политика (ЗЗП) се поддржуваат земјоделците и руралниот развој. Ова бара издржливи системи за управување и контрола. Исто така, постојат заеднички правила на ЕУ за политиката за квалитет и органско земјоделство.</w:t>
      </w:r>
    </w:p>
    <w:p w14:paraId="69DADFDC" w14:textId="77E48022"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останува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областа на земјоделството и руралниот развој. 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во извештајниот период. Донесувањето политика од страна на Владата за задржување на сите вработени придонесе да се подобрат структурите на ИПАРД и се подобри апсорпцијата на средствата од ЕУ во рамките на инструментот за претпристапна помош за рурален развој (ИПАРД II). Останува да се изврши раздвојувањето на директни плаќања и пренесување на регистарот за земјоделски стопанства и системот за идентификација на земјишни парцели (ЛПИС) на платежната агенција, како и донесување правна рамка во областа на заедничка организација на пазари. Квалификуваниот персонал треба да се вработи во оперативната структура на ИПАРД, во согласност со анализите на обемот на работа.</w:t>
      </w:r>
    </w:p>
    <w:p w14:paraId="0CCAEBC4" w14:textId="74D9F528"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Во наредната година, Северна Македонија особено</w:t>
      </w:r>
      <w:r w:rsidRPr="00293D81">
        <w:rPr>
          <w:rFonts w:ascii="Times New Roman" w:hAnsi="Times New Roman" w:cs="Times New Roman"/>
          <w:sz w:val="24"/>
          <w:szCs w:val="24"/>
        </w:rPr>
        <w:t xml:space="preserve"> </w:t>
      </w:r>
      <w:r w:rsidRPr="00C9671E">
        <w:rPr>
          <w:rFonts w:ascii="Times New Roman" w:hAnsi="Times New Roman" w:cs="Times New Roman"/>
          <w:sz w:val="24"/>
          <w:szCs w:val="24"/>
        </w:rPr>
        <w:t>треба:</w:t>
      </w:r>
    </w:p>
    <w:p w14:paraId="5FC386CF" w14:textId="77777777" w:rsidR="003D4454" w:rsidRPr="00C9671E" w:rsidRDefault="003D4454" w:rsidP="003D4454">
      <w:pPr>
        <w:numPr>
          <w:ilvl w:val="0"/>
          <w:numId w:val="5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осигури дополнителни човечки ресурси за оперативната структура на ИПАРД и да го прошири спроведувањето ИПАРД III програмата за целосно искористување на достапното финансирање;</w:t>
      </w:r>
    </w:p>
    <w:p w14:paraId="6B178D69" w14:textId="77777777" w:rsidR="003D4454" w:rsidRPr="00C9671E" w:rsidRDefault="003D4454" w:rsidP="003D4454">
      <w:pPr>
        <w:numPr>
          <w:ilvl w:val="0"/>
          <w:numId w:val="5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напредува во пренесување на регистарот за земјоделски стопанства и системот за идентификација на земјишни (ЛПИС) на платежната агенција и да изготви акциски план за спроведување на Националната стратегија за земјоделство и рурален развој за периодот 2021-2027 година;</w:t>
      </w:r>
    </w:p>
    <w:p w14:paraId="0198E9AA" w14:textId="77777777" w:rsidR="003D4454" w:rsidRPr="00C9671E" w:rsidRDefault="003D4454" w:rsidP="003D4454">
      <w:pPr>
        <w:numPr>
          <w:ilvl w:val="0"/>
          <w:numId w:val="58"/>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донесе правна рамка за понатамошно усогласување со правото на ЕУ во областа на директни плаќања и заедничка организација на пазари.</w:t>
      </w:r>
    </w:p>
    <w:p w14:paraId="6248BD40" w14:textId="77777777" w:rsidR="003D4454" w:rsidRPr="00C9671E" w:rsidRDefault="003D4454" w:rsidP="006E4EB0">
      <w:pPr>
        <w:spacing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хоризонталните прашања</w:t>
      </w:r>
      <w:r w:rsidRPr="00C9671E">
        <w:rPr>
          <w:rFonts w:ascii="Times New Roman" w:hAnsi="Times New Roman" w:cs="Times New Roman"/>
          <w:sz w:val="24"/>
          <w:szCs w:val="24"/>
        </w:rPr>
        <w:t xml:space="preserve">, беше донесена политика од страна на Владата за задржување на сите вработени што имаше позитивен ефект врз структурите на ИПАРД. Националната стратегија за земјоделство и рурален развој за периодот 2021-2027 година, донесена во 2021 година треба да се надополни со акциски план и буџетирање за да се осигури соодветно спроведување со систем за следење и известување. Треба да се донесе закон за усогласување на национални шеми за поддршка на земјоделците со правото на ЕУ. Зајакнати се контролите за подобрување на стандардите за вкрстена усогласеност. </w:t>
      </w:r>
    </w:p>
    <w:p w14:paraId="1B913DAF" w14:textId="093266B4" w:rsidR="003D4454" w:rsidRPr="00C9671E" w:rsidRDefault="003D4454" w:rsidP="006E4EB0">
      <w:pPr>
        <w:spacing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 xml:space="preserve">Воспоставени се сите елементи </w:t>
      </w:r>
      <w:r>
        <w:rPr>
          <w:rFonts w:ascii="Times New Roman" w:hAnsi="Times New Roman" w:cs="Times New Roman"/>
          <w:sz w:val="24"/>
          <w:szCs w:val="24"/>
        </w:rPr>
        <w:t>на Интегрираниот систем за администрација и контрола</w:t>
      </w:r>
      <w:r w:rsidRPr="00C9671E">
        <w:rPr>
          <w:rFonts w:ascii="Times New Roman" w:hAnsi="Times New Roman" w:cs="Times New Roman"/>
          <w:sz w:val="24"/>
          <w:szCs w:val="24"/>
        </w:rPr>
        <w:t xml:space="preserve"> (</w:t>
      </w:r>
      <w:r>
        <w:rPr>
          <w:rFonts w:ascii="Times New Roman" w:hAnsi="Times New Roman" w:cs="Times New Roman"/>
          <w:sz w:val="24"/>
          <w:szCs w:val="24"/>
        </w:rPr>
        <w:t>ИСАК</w:t>
      </w:r>
      <w:r w:rsidRPr="00C9671E">
        <w:rPr>
          <w:rFonts w:ascii="Times New Roman" w:hAnsi="Times New Roman" w:cs="Times New Roman"/>
          <w:sz w:val="24"/>
          <w:szCs w:val="24"/>
        </w:rPr>
        <w:t>) и се во согласност со правото на ЕУ.</w:t>
      </w:r>
      <w:r w:rsidRPr="00C9671E">
        <w:rPr>
          <w:rFonts w:ascii="Times New Roman" w:hAnsi="Times New Roman" w:cs="Times New Roman"/>
          <w:i/>
          <w:sz w:val="24"/>
          <w:szCs w:val="24"/>
        </w:rPr>
        <w:t xml:space="preserve"> </w:t>
      </w:r>
      <w:r w:rsidRPr="00C9671E">
        <w:rPr>
          <w:rFonts w:ascii="Times New Roman" w:hAnsi="Times New Roman" w:cs="Times New Roman"/>
          <w:sz w:val="24"/>
          <w:szCs w:val="24"/>
        </w:rPr>
        <w:t xml:space="preserve">Одредени се директни плаќања според области со користење податоци од регистарот на земјоделски стопанства и системот за идентификација на земјишни парцели (ЛПИС). Постигнат е напредок за подобрување на квалитетот на регистарот на земјоделски стопанства. Меѓутоа, постигнат е </w:t>
      </w:r>
      <w:r w:rsidRPr="00C9671E">
        <w:rPr>
          <w:rFonts w:ascii="Times New Roman" w:hAnsi="Times New Roman" w:cs="Times New Roman"/>
          <w:sz w:val="24"/>
          <w:szCs w:val="24"/>
        </w:rPr>
        <w:lastRenderedPageBreak/>
        <w:t xml:space="preserve">ограничен напредок за интеропербилноста помеѓу регистарот на земјоделски стопанства и системот за идентификација и регистрација на животни во однос на квалитетот на податоци за животни. Останува да се воспостави правната рамка за пренесувањето на регистарот на земјоделци и ЛПИС на платежната агенција. Развивањето мрежа за сметководствени податоци од земјоделски стопанства (ФАДН) врз основа на пример со репрезентативна големина се планира од 2022 година. Треба да се зголемат ресурсите за да се осигури одржливост на системот ФАДН на сите нивоа на прибирање податоци, потврдување квалитет и известување.. </w:t>
      </w:r>
      <w:r w:rsidRPr="00BF4564">
        <w:rPr>
          <w:rFonts w:ascii="Times New Roman" w:eastAsia="Calibri" w:hAnsi="Times New Roman" w:cs="Times New Roman"/>
          <w:sz w:val="24"/>
          <w:szCs w:val="24"/>
        </w:rPr>
        <w:t>Северна Македонија треба да усвои проект, под</w:t>
      </w:r>
      <w:r>
        <w:rPr>
          <w:rFonts w:ascii="Times New Roman" w:eastAsia="Calibri" w:hAnsi="Times New Roman" w:cs="Times New Roman"/>
          <w:sz w:val="24"/>
          <w:szCs w:val="24"/>
        </w:rPr>
        <w:t>д</w:t>
      </w:r>
      <w:r w:rsidRPr="00BF4564">
        <w:rPr>
          <w:rFonts w:ascii="Times New Roman" w:eastAsia="Calibri" w:hAnsi="Times New Roman" w:cs="Times New Roman"/>
          <w:sz w:val="24"/>
          <w:szCs w:val="24"/>
        </w:rPr>
        <w:t>ржан од ЕУ, насочен кон изготвување нова правна рамка и усогласување на советодавните услугите за земјоделство со правото на ЕУ.</w:t>
      </w:r>
    </w:p>
    <w:p w14:paraId="2DF82410"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заедничкото уредување на пазарите (ЗУП) основана е работна група.. Треба да се донесе нов закон за ЗУП што е усогласен со правото на ЕУ. </w:t>
      </w:r>
    </w:p>
    <w:p w14:paraId="238C4A36" w14:textId="6D9AAFD9" w:rsidR="003D4454" w:rsidRPr="00C9671E" w:rsidRDefault="003D4454" w:rsidP="006E4EB0">
      <w:pPr>
        <w:spacing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руралниот развој</w:t>
      </w:r>
      <w:r w:rsidRPr="00C9671E">
        <w:rPr>
          <w:rFonts w:ascii="Times New Roman" w:hAnsi="Times New Roman" w:cs="Times New Roman"/>
          <w:sz w:val="24"/>
          <w:szCs w:val="24"/>
        </w:rPr>
        <w:t xml:space="preserve">, постигнат е добар напредок во апсорпцијата на фондовите на ЕУ во рамките на Инструментот за претпристапна помош за рурален развој (ИПАРД II). Меѓутоа, треба да се зголеми бројот на вработени во </w:t>
      </w:r>
      <w:r w:rsidRPr="00705B41">
        <w:rPr>
          <w:rFonts w:ascii="Times New Roman" w:hAnsi="Times New Roman" w:cs="Times New Roman"/>
          <w:sz w:val="24"/>
          <w:szCs w:val="24"/>
        </w:rPr>
        <w:t>T</w:t>
      </w:r>
      <w:r>
        <w:rPr>
          <w:rFonts w:ascii="Times New Roman" w:hAnsi="Times New Roman" w:cs="Times New Roman"/>
          <w:sz w:val="24"/>
          <w:szCs w:val="24"/>
        </w:rPr>
        <w:t>елото за управување</w:t>
      </w:r>
      <w:r w:rsidRPr="00C9671E">
        <w:rPr>
          <w:rFonts w:ascii="Times New Roman" w:hAnsi="Times New Roman" w:cs="Times New Roman"/>
          <w:sz w:val="24"/>
          <w:szCs w:val="24"/>
        </w:rPr>
        <w:t xml:space="preserve"> и во Агенцијата ИПАРД. Донесена е ИПАРД III програмата и потребна е поголема посветеност на работењето од органите на ИПАРД за зголемување на бројот мерки достапни за земјоделците и руралните области за користење на зголеменото буџетско издвојување врз основа на ИПАРД III. </w:t>
      </w:r>
    </w:p>
    <w:p w14:paraId="5807CFA2"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политиката за квалитет</w:t>
      </w:r>
      <w:r w:rsidRPr="00C9671E">
        <w:rPr>
          <w:rFonts w:ascii="Times New Roman" w:hAnsi="Times New Roman" w:cs="Times New Roman"/>
          <w:sz w:val="24"/>
          <w:szCs w:val="24"/>
        </w:rPr>
        <w:t xml:space="preserve">, нема напредок во спроведувањето на шемите за квалитет, а административните капацитети и понатаму се недоволни и покрај секторскиот потенцијал за традиционални производи и ознака на потекло. Потребни се дополнителни напори за воспоставување на законодавната рамка за алкохолни пијалаци и обезбедување заштита на географските ознаки во согласност со правото на ЕУ. </w:t>
      </w:r>
    </w:p>
    <w:p w14:paraId="3EB567C6"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органското земјоделство</w:t>
      </w:r>
      <w:r w:rsidRPr="00C9671E">
        <w:rPr>
          <w:rFonts w:ascii="Times New Roman" w:hAnsi="Times New Roman" w:cs="Times New Roman"/>
          <w:sz w:val="24"/>
          <w:szCs w:val="24"/>
        </w:rPr>
        <w:t xml:space="preserve">, законодавството, надлежниот орган, контролните тела и системот за акредитација и сертификација се воспоставени и се функционални. Треба да се донесе нов закон за органско производство во согласност со правото на ЕУ. Активноста за зајакнување на следењето и контролата на сертификација на органското производство и на производите е ограничена. Постои потенцијал за понатамошен развој на секторот и за целосно искористување на можностите во рамките на ИПАРД III програмата. </w:t>
      </w:r>
    </w:p>
    <w:p w14:paraId="505ADC50" w14:textId="77777777" w:rsidR="003D4454" w:rsidRPr="00C9671E" w:rsidRDefault="003D4454" w:rsidP="006E4EB0">
      <w:pPr>
        <w:pStyle w:val="Heading3"/>
      </w:pPr>
      <w:bookmarkStart w:id="276" w:name="_Toc84631607"/>
      <w:bookmarkStart w:id="277" w:name="_Toc84329805"/>
      <w:bookmarkStart w:id="278" w:name="_Toc51252784"/>
      <w:bookmarkStart w:id="279" w:name="_Toc9430361"/>
      <w:bookmarkStart w:id="280" w:name="_Toc115619817"/>
      <w:bookmarkStart w:id="281" w:name="_Toc117004188"/>
      <w:r w:rsidRPr="00C9671E">
        <w:t>Поглавје 12: Безбедност на храна, ветеринарна и фитосанитарна политика</w:t>
      </w:r>
      <w:bookmarkEnd w:id="276"/>
      <w:bookmarkEnd w:id="277"/>
      <w:bookmarkEnd w:id="278"/>
      <w:bookmarkEnd w:id="279"/>
      <w:bookmarkEnd w:id="280"/>
      <w:bookmarkEnd w:id="281"/>
      <w:r w:rsidRPr="00C9671E">
        <w:t xml:space="preserve"> </w:t>
      </w:r>
    </w:p>
    <w:p w14:paraId="48C2CA8B"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i/>
          <w:sz w:val="24"/>
          <w:szCs w:val="24"/>
        </w:rPr>
        <w:t xml:space="preserve">Правилата за хигиена на ЕУ за производство на храна осигуруваат високо ниво на безбедност на храната. Здравјето и благосостојбата на животните и безбедноста на храната од животинско потекло и исхраната на животните се зачувани заедно со квалитетот на семето, материјалот за заштита на растенијата и заштитата од штетни организми </w:t>
      </w:r>
    </w:p>
    <w:p w14:paraId="73E11C65"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има </w:t>
      </w:r>
      <w:r w:rsidRPr="00C9671E">
        <w:rPr>
          <w:rFonts w:ascii="Times New Roman" w:hAnsi="Times New Roman" w:cs="Times New Roman"/>
          <w:b/>
          <w:sz w:val="24"/>
          <w:szCs w:val="24"/>
        </w:rPr>
        <w:t>добро ниво на подготвеност</w:t>
      </w:r>
      <w:r w:rsidRPr="00C9671E">
        <w:rPr>
          <w:rFonts w:ascii="Times New Roman" w:hAnsi="Times New Roman" w:cs="Times New Roman"/>
          <w:sz w:val="24"/>
          <w:szCs w:val="24"/>
        </w:rPr>
        <w:t xml:space="preserve"> во областа на безбедноста на храната и ветеринарната политика. Постигнат е </w:t>
      </w:r>
      <w:r w:rsidRPr="00C9671E">
        <w:rPr>
          <w:rFonts w:ascii="Times New Roman" w:hAnsi="Times New Roman" w:cs="Times New Roman"/>
          <w:b/>
          <w:sz w:val="24"/>
          <w:szCs w:val="24"/>
        </w:rPr>
        <w:t>одреден напредок</w:t>
      </w:r>
      <w:r w:rsidRPr="00C9671E">
        <w:rPr>
          <w:rFonts w:ascii="Times New Roman" w:hAnsi="Times New Roman" w:cs="Times New Roman"/>
          <w:sz w:val="24"/>
          <w:szCs w:val="24"/>
        </w:rPr>
        <w:t xml:space="preserve"> во земјата, особено во подобрувањето на контролата на болести кај животните и контролата на здравјето на растенијата. </w:t>
      </w:r>
    </w:p>
    <w:p w14:paraId="1E0B5018"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Бидејќи сите препораки од минатата година не се спроведени, во наредната година, земјата особено треба:</w:t>
      </w:r>
    </w:p>
    <w:p w14:paraId="330C76DF" w14:textId="77777777" w:rsidR="003D4454" w:rsidRPr="00C9671E" w:rsidRDefault="003D4454" w:rsidP="003D4454">
      <w:pPr>
        <w:numPr>
          <w:ilvl w:val="0"/>
          <w:numId w:val="59"/>
        </w:numPr>
        <w:pBdr>
          <w:top w:val="single" w:sz="4" w:space="1" w:color="auto"/>
          <w:left w:val="single" w:sz="4" w:space="4" w:color="auto"/>
          <w:bottom w:val="single" w:sz="4" w:space="1" w:color="auto"/>
          <w:right w:val="single" w:sz="4" w:space="4" w:color="auto"/>
        </w:pBdr>
        <w:shd w:val="clear" w:color="auto" w:fill="D9D9D9"/>
        <w:spacing w:after="120" w:line="240" w:lineRule="auto"/>
        <w:ind w:left="357" w:hanging="357"/>
        <w:jc w:val="both"/>
        <w:rPr>
          <w:rFonts w:ascii="Times New Roman" w:hAnsi="Times New Roman" w:cs="Times New Roman"/>
          <w:sz w:val="24"/>
          <w:szCs w:val="24"/>
        </w:rPr>
      </w:pPr>
      <w:r w:rsidRPr="00C9671E">
        <w:rPr>
          <w:rFonts w:ascii="Times New Roman" w:hAnsi="Times New Roman" w:cs="Times New Roman"/>
          <w:sz w:val="24"/>
          <w:szCs w:val="24"/>
        </w:rPr>
        <w:t xml:space="preserve">да продолжи да го усогласува законодавството за службена контрола со новото законодавство на ЕУ за службени контроли; </w:t>
      </w:r>
    </w:p>
    <w:p w14:paraId="00390DCD" w14:textId="77777777" w:rsidR="003D4454" w:rsidRPr="00C9671E" w:rsidRDefault="003D4454" w:rsidP="003D4454">
      <w:pPr>
        <w:numPr>
          <w:ilvl w:val="0"/>
          <w:numId w:val="5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да ги зајакне капацитетите на Агенцијата за храна и ветеринарство за анализа на податоци;</w:t>
      </w:r>
    </w:p>
    <w:p w14:paraId="27D31B36" w14:textId="77777777" w:rsidR="003D4454" w:rsidRPr="00C9671E" w:rsidRDefault="003D4454" w:rsidP="003D4454">
      <w:pPr>
        <w:numPr>
          <w:ilvl w:val="0"/>
          <w:numId w:val="59"/>
        </w:num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спроведе активности за постигнување одржлива употреба на пестициди.</w:t>
      </w:r>
    </w:p>
    <w:p w14:paraId="68C7A0C3" w14:textId="62591B54" w:rsidR="003D4454" w:rsidRPr="00C9671E" w:rsidRDefault="003D4454" w:rsidP="006E4EB0">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општата безбедност на храната</w:t>
      </w:r>
      <w:r w:rsidRPr="00C9671E">
        <w:rPr>
          <w:rFonts w:ascii="Times New Roman" w:hAnsi="Times New Roman" w:cs="Times New Roman"/>
          <w:sz w:val="24"/>
          <w:szCs w:val="24"/>
        </w:rPr>
        <w:t>, Северна Македонија го измени Законот за безбедност на храна во согласност со правото на ЕУ за службени контроли. Националниот систем за брзо предупредување за храна и храна за животни, како и системите за внатрешна ревизија и обука на Агенцијата се функционални. Агенцијата работи во согласност со стандардите за управување со квалитет. Агенцијата за храна и ветеринарство презеде мерки за заштита на потрошувачите со решавање поплаки од потрошувачите.</w:t>
      </w:r>
    </w:p>
    <w:p w14:paraId="4D6F3F44" w14:textId="0F7A5D54" w:rsidR="003D4454" w:rsidRPr="00C9671E" w:rsidRDefault="003D4454" w:rsidP="006E4EB0">
      <w:pPr>
        <w:widowControl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ветеринарната политика</w:t>
      </w:r>
      <w:r w:rsidRPr="00C9671E">
        <w:rPr>
          <w:rFonts w:ascii="Times New Roman" w:hAnsi="Times New Roman" w:cs="Times New Roman"/>
          <w:sz w:val="24"/>
          <w:szCs w:val="24"/>
        </w:rPr>
        <w:t xml:space="preserve">, законодавството за спроведување </w:t>
      </w:r>
      <w:r>
        <w:rPr>
          <w:rFonts w:ascii="Times New Roman" w:hAnsi="Times New Roman" w:cs="Times New Roman"/>
          <w:sz w:val="24"/>
          <w:szCs w:val="24"/>
        </w:rPr>
        <w:t>благосостојба</w:t>
      </w:r>
      <w:r w:rsidRPr="00C9671E">
        <w:rPr>
          <w:rFonts w:ascii="Times New Roman" w:hAnsi="Times New Roman" w:cs="Times New Roman"/>
          <w:sz w:val="24"/>
          <w:szCs w:val="24"/>
        </w:rPr>
        <w:t xml:space="preserve"> на животните при колење беше усогласено со правото на ЕУ. Во однос на системот за увоз, Агенцијата за храна и ветеринарство предвидува редовно ажурирање на мерките за заштита при увоз и барањата за увоз на живи животни и производи од животинско потекло. </w:t>
      </w:r>
    </w:p>
    <w:p w14:paraId="3FDAF928"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Агенцијата продолжи да го усогласува националното законодавство со новото право на ЕУ за здравје на животните. Постигнат е напредок за контролни мерки за болести кај животните. Останува откриената слабост во однос на прибирање, потврдување и анализа на податоци. Агенцијата спроведува програма за активен надзор за класична свинска чума, африканска свинска чума, болест на чвореста кожа, беснило и болести кај водните животни, меѓутоа прибирањето, потврдувањето и анализата на податоци треба да се подобри. Агенцијата го продолжи спроведувањето на програмата за следење на антимикробна резистенција. Националната програма за 2022 година за контрола на резидуите од ветеринарно-медицински производи и контаминанти кај живи животни и прехранбени производи од животинско потекло е во согласност со правото на ЕУ за говеда, овци, свињи, живина, аквакултура, млеко, јајца и мед. Агенцијата продолжи со спроведување акциски план за добросостојба на животните. Капацитетот за понатамошно усогласување и спроведување на правото на ЕУ во областа на зоотехничките прашања треба да се подобри. </w:t>
      </w:r>
    </w:p>
    <w:p w14:paraId="4E954B1F" w14:textId="484DE17C" w:rsidR="003D4454" w:rsidRPr="00C9671E" w:rsidRDefault="003D4454" w:rsidP="006E4EB0">
      <w:pPr>
        <w:spacing w:after="120" w:line="240" w:lineRule="auto"/>
        <w:jc w:val="both"/>
        <w:rPr>
          <w:rFonts w:ascii="Times New Roman" w:hAnsi="Times New Roman" w:cs="Times New Roman"/>
          <w:i/>
          <w:iCs/>
          <w:sz w:val="24"/>
          <w:szCs w:val="24"/>
          <w:u w:val="single"/>
        </w:rPr>
      </w:pPr>
      <w:r w:rsidRPr="00C9671E">
        <w:rPr>
          <w:rFonts w:ascii="Times New Roman" w:hAnsi="Times New Roman" w:cs="Times New Roman"/>
          <w:sz w:val="24"/>
          <w:szCs w:val="24"/>
        </w:rPr>
        <w:t xml:space="preserve">Постигнат е одреден напредок во </w:t>
      </w:r>
      <w:r w:rsidRPr="00C9671E">
        <w:rPr>
          <w:rFonts w:ascii="Times New Roman" w:hAnsi="Times New Roman" w:cs="Times New Roman"/>
          <w:b/>
          <w:sz w:val="24"/>
          <w:szCs w:val="24"/>
        </w:rPr>
        <w:t>ставањето во промет на храна, храна за животни и нуспроизводи од животинско потекло</w:t>
      </w:r>
      <w:r w:rsidRPr="00C9671E">
        <w:rPr>
          <w:rFonts w:ascii="Times New Roman" w:hAnsi="Times New Roman" w:cs="Times New Roman"/>
          <w:sz w:val="24"/>
          <w:szCs w:val="24"/>
        </w:rPr>
        <w:t xml:space="preserve"> со донесување законодавство за спроведување насочено кон усогласување со правото на ЕУ. Ревидираниот Закон за нуспроизводи од животинско потекло сѐ уште не е донесен. Донесен е </w:t>
      </w:r>
      <w:r>
        <w:rPr>
          <w:rFonts w:ascii="Times New Roman" w:hAnsi="Times New Roman" w:cs="Times New Roman"/>
          <w:sz w:val="24"/>
          <w:szCs w:val="24"/>
        </w:rPr>
        <w:t>П</w:t>
      </w:r>
      <w:r w:rsidRPr="00C9671E">
        <w:rPr>
          <w:rFonts w:ascii="Times New Roman" w:hAnsi="Times New Roman" w:cs="Times New Roman"/>
          <w:sz w:val="24"/>
          <w:szCs w:val="24"/>
        </w:rPr>
        <w:t xml:space="preserve">равилник за </w:t>
      </w:r>
      <w:r w:rsidRPr="00B96FA7">
        <w:rPr>
          <w:rFonts w:ascii="Times New Roman" w:hAnsi="Times New Roman" w:cs="Times New Roman"/>
          <w:sz w:val="24"/>
          <w:szCs w:val="24"/>
        </w:rPr>
        <w:t>општите и посебните барања за безбедност на храната во однос на</w:t>
      </w:r>
      <w:r>
        <w:rPr>
          <w:rFonts w:ascii="Times New Roman" w:hAnsi="Times New Roman" w:cs="Times New Roman"/>
          <w:sz w:val="24"/>
          <w:szCs w:val="24"/>
          <w:lang w:val="en-GB"/>
        </w:rPr>
        <w:t xml:space="preserve"> </w:t>
      </w:r>
      <w:r w:rsidRPr="00B6512F">
        <w:rPr>
          <w:rFonts w:ascii="Times New Roman" w:hAnsi="Times New Roman" w:cs="Times New Roman"/>
          <w:sz w:val="24"/>
          <w:szCs w:val="24"/>
        </w:rPr>
        <w:t>максимално дозволените нивоа на резидиуи од пестициди во или врз храната и храната за животни од растително и од животинско потекло</w:t>
      </w:r>
      <w:r>
        <w:rPr>
          <w:rFonts w:ascii="Times New Roman" w:hAnsi="Times New Roman" w:cs="Times New Roman"/>
          <w:sz w:val="24"/>
          <w:szCs w:val="24"/>
        </w:rPr>
        <w:t>.</w:t>
      </w:r>
    </w:p>
    <w:p w14:paraId="506FCB10"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и одреден напредок во однос на </w:t>
      </w:r>
      <w:r w:rsidRPr="00C9671E">
        <w:rPr>
          <w:rFonts w:ascii="Times New Roman" w:hAnsi="Times New Roman" w:cs="Times New Roman"/>
          <w:b/>
          <w:sz w:val="24"/>
          <w:szCs w:val="24"/>
        </w:rPr>
        <w:t>правилата за безбедност на храната</w:t>
      </w:r>
      <w:r w:rsidRPr="00C9671E">
        <w:rPr>
          <w:rFonts w:ascii="Times New Roman" w:hAnsi="Times New Roman" w:cs="Times New Roman"/>
          <w:sz w:val="24"/>
          <w:szCs w:val="24"/>
        </w:rPr>
        <w:t>. Законодавството беше усогласено со правото на ЕУ за адитиви за храна, материјали што доаѓаат во контакт со храната и максималните дозволени нивоа за определени контаниминанти во прехранбените производи. Агенцијата продолжи да спроведува програма за следење на безбедноста на храната, но податоците треба дополнително да се анализираат.</w:t>
      </w:r>
    </w:p>
    <w:p w14:paraId="6BCE06BE" w14:textId="42B1FAD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специфичните правила за добиточна храна</w:t>
      </w:r>
      <w:r w:rsidRPr="00C9671E">
        <w:rPr>
          <w:rFonts w:ascii="Times New Roman" w:hAnsi="Times New Roman" w:cs="Times New Roman"/>
          <w:sz w:val="24"/>
          <w:szCs w:val="24"/>
        </w:rPr>
        <w:t xml:space="preserve">, законодавството </w:t>
      </w:r>
      <w:r>
        <w:rPr>
          <w:rFonts w:ascii="Times New Roman" w:hAnsi="Times New Roman" w:cs="Times New Roman"/>
          <w:sz w:val="24"/>
          <w:szCs w:val="24"/>
        </w:rPr>
        <w:t>беше</w:t>
      </w:r>
      <w:r w:rsidRPr="00C9671E">
        <w:rPr>
          <w:rFonts w:ascii="Times New Roman" w:hAnsi="Times New Roman" w:cs="Times New Roman"/>
          <w:sz w:val="24"/>
          <w:szCs w:val="24"/>
        </w:rPr>
        <w:t xml:space="preserve"> усоглас</w:t>
      </w:r>
      <w:r>
        <w:rPr>
          <w:rFonts w:ascii="Times New Roman" w:hAnsi="Times New Roman" w:cs="Times New Roman"/>
          <w:sz w:val="24"/>
          <w:szCs w:val="24"/>
        </w:rPr>
        <w:t>ено</w:t>
      </w:r>
      <w:r w:rsidRPr="00C9671E">
        <w:rPr>
          <w:rFonts w:ascii="Times New Roman" w:hAnsi="Times New Roman" w:cs="Times New Roman"/>
          <w:sz w:val="24"/>
          <w:szCs w:val="24"/>
        </w:rPr>
        <w:t xml:space="preserve"> со правото на ЕУ во врска со адитиви на добиточна храна. Агенцијата спроведува програма за следење на безбедноста на добиточната храна. </w:t>
      </w:r>
    </w:p>
    <w:p w14:paraId="59E5905F" w14:textId="40F06611"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одреден напредок во областа на </w:t>
      </w:r>
      <w:r w:rsidRPr="00C9671E">
        <w:rPr>
          <w:rFonts w:ascii="Times New Roman" w:hAnsi="Times New Roman" w:cs="Times New Roman"/>
          <w:b/>
          <w:sz w:val="24"/>
          <w:szCs w:val="24"/>
        </w:rPr>
        <w:t>фитосанитарната политика.</w:t>
      </w:r>
      <w:r w:rsidRPr="00C9671E">
        <w:rPr>
          <w:rFonts w:ascii="Times New Roman" w:hAnsi="Times New Roman" w:cs="Times New Roman"/>
          <w:sz w:val="24"/>
          <w:szCs w:val="24"/>
        </w:rPr>
        <w:t xml:space="preserve"> Фитосанитарната управа редовно го ажурира списокот на штетни организми во </w:t>
      </w:r>
      <w:r w:rsidRPr="00C9671E">
        <w:rPr>
          <w:rFonts w:ascii="Times New Roman" w:hAnsi="Times New Roman" w:cs="Times New Roman"/>
          <w:sz w:val="24"/>
          <w:szCs w:val="24"/>
        </w:rPr>
        <w:lastRenderedPageBreak/>
        <w:t xml:space="preserve">согласност со новото право на ЕУ и статусот на штетници во земјата. Објавен е </w:t>
      </w:r>
      <w:r>
        <w:rPr>
          <w:rFonts w:ascii="Times New Roman" w:hAnsi="Times New Roman" w:cs="Times New Roman"/>
          <w:sz w:val="24"/>
          <w:szCs w:val="24"/>
        </w:rPr>
        <w:t>К</w:t>
      </w:r>
      <w:r w:rsidRPr="00C9671E">
        <w:rPr>
          <w:rFonts w:ascii="Times New Roman" w:hAnsi="Times New Roman" w:cs="Times New Roman"/>
          <w:sz w:val="24"/>
          <w:szCs w:val="24"/>
        </w:rPr>
        <w:t>аталог на одбрани штетници кај растенија во кој се опфатени фитосанитарната активност, картичките за идентификација на штетници и протоколите за надзор над карантински штетници. Фитосанитарниот информативен систем се користи како платформа за споделување информации и за координација помеѓу надлежните органи. Законот за фитофармација е усогласен со правото на ЕУ. Меѓутоа, активностите за постигнување одржлива употреба на пестициди не се спроведени. Не постојат сигурни податоци за употребата на пестициди во земјата, ниту пак анализа на ризиците и влијанието од употребата на пестициди врз човековото здравје и врз животната средина. Фитосанитарната инспекција спроведува мерки за искоренување на пестицидите идентификувани со програмите за следење и контрола.</w:t>
      </w:r>
    </w:p>
    <w:p w14:paraId="56E07556"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Законот за </w:t>
      </w:r>
      <w:r w:rsidRPr="00C9671E">
        <w:rPr>
          <w:rFonts w:ascii="Times New Roman" w:hAnsi="Times New Roman" w:cs="Times New Roman"/>
          <w:b/>
          <w:sz w:val="24"/>
          <w:szCs w:val="24"/>
        </w:rPr>
        <w:t>генетски модифицирани организми</w:t>
      </w:r>
      <w:r w:rsidRPr="00C9671E">
        <w:rPr>
          <w:rFonts w:ascii="Times New Roman" w:hAnsi="Times New Roman" w:cs="Times New Roman"/>
          <w:sz w:val="24"/>
          <w:szCs w:val="24"/>
        </w:rPr>
        <w:t xml:space="preserve"> е усогласен со правото на ЕУ. Производство, ставање во промет и увоз на храна и добиточна храна од генетски модифицирани организми е забрането.</w:t>
      </w:r>
    </w:p>
    <w:p w14:paraId="7C024280" w14:textId="77777777" w:rsidR="003D4454" w:rsidRPr="00C9671E" w:rsidRDefault="003D4454" w:rsidP="006E4EB0">
      <w:pPr>
        <w:pStyle w:val="Heading3"/>
      </w:pPr>
      <w:bookmarkStart w:id="282" w:name="_Toc84631608"/>
      <w:bookmarkStart w:id="283" w:name="_Toc84329806"/>
      <w:bookmarkStart w:id="284" w:name="_Toc51252785"/>
      <w:bookmarkStart w:id="285" w:name="_Toc9430362"/>
      <w:bookmarkStart w:id="286" w:name="_Toc115619818"/>
      <w:bookmarkStart w:id="287" w:name="_Toc117004189"/>
      <w:r w:rsidRPr="00C9671E">
        <w:t>Поглавје 13: Рибарство</w:t>
      </w:r>
      <w:bookmarkEnd w:id="282"/>
      <w:bookmarkEnd w:id="283"/>
      <w:bookmarkEnd w:id="284"/>
      <w:bookmarkEnd w:id="285"/>
      <w:bookmarkEnd w:id="286"/>
      <w:bookmarkEnd w:id="287"/>
    </w:p>
    <w:p w14:paraId="7DBE15AB"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sz w:val="24"/>
          <w:szCs w:val="24"/>
        </w:rPr>
        <w:t xml:space="preserve">Со заедничката политика за рибарство се утврдуваат правила за управување со риболов, се заштитуваат живите ресурси на морето и се ограничува влијанието на животната средина врз рибарството. Ова вклучува поставување квоти на улови, управување со капацитетот на флората, правила за пазари и аквакултура, како и поддршка за рибарството и крајбрежните заедници. </w:t>
      </w:r>
    </w:p>
    <w:p w14:paraId="005233FE" w14:textId="48B84791"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оваа област. Постигнат е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xml:space="preserve"> во текот на извештајниот период и остануваат да важат препораките од минатата година. Во наредната година, Северна Македонија</w:t>
      </w:r>
      <w:r w:rsidRPr="004F497C">
        <w:rPr>
          <w:rFonts w:ascii="Times New Roman" w:hAnsi="Times New Roman" w:cs="Times New Roman"/>
          <w:sz w:val="24"/>
          <w:szCs w:val="24"/>
        </w:rPr>
        <w:t xml:space="preserve"> </w:t>
      </w:r>
      <w:r w:rsidRPr="00C9671E">
        <w:rPr>
          <w:rFonts w:ascii="Times New Roman" w:hAnsi="Times New Roman" w:cs="Times New Roman"/>
          <w:sz w:val="24"/>
          <w:szCs w:val="24"/>
        </w:rPr>
        <w:t>особено треба:</w:t>
      </w:r>
    </w:p>
    <w:p w14:paraId="6CA135EB" w14:textId="77777777" w:rsidR="003D4454" w:rsidRPr="00C9671E" w:rsidRDefault="003D4454" w:rsidP="003D4454">
      <w:pPr>
        <w:numPr>
          <w:ilvl w:val="0"/>
          <w:numId w:val="5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го усогласи законот за рибарство и аквакултура со правото на ЕУ во областа на пазарната политика, структурните мерки и државната помош;</w:t>
      </w:r>
    </w:p>
    <w:p w14:paraId="7F9E5D5F" w14:textId="609E6AAD" w:rsidR="003D4454" w:rsidRPr="00C9671E" w:rsidRDefault="003D4454" w:rsidP="003D4454">
      <w:pPr>
        <w:numPr>
          <w:ilvl w:val="0"/>
          <w:numId w:val="5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да го подобри системот за </w:t>
      </w:r>
      <w:r>
        <w:rPr>
          <w:rFonts w:ascii="Times New Roman" w:hAnsi="Times New Roman" w:cs="Times New Roman"/>
          <w:sz w:val="24"/>
          <w:szCs w:val="24"/>
        </w:rPr>
        <w:t>со</w:t>
      </w:r>
      <w:r w:rsidRPr="00C9671E">
        <w:rPr>
          <w:rFonts w:ascii="Times New Roman" w:hAnsi="Times New Roman" w:cs="Times New Roman"/>
          <w:sz w:val="24"/>
          <w:szCs w:val="24"/>
        </w:rPr>
        <w:t>бирање податоци и за известување;</w:t>
      </w:r>
    </w:p>
    <w:p w14:paraId="79710E67" w14:textId="77777777" w:rsidR="003D4454" w:rsidRPr="00C9671E" w:rsidRDefault="003D4454" w:rsidP="003D4454">
      <w:pPr>
        <w:numPr>
          <w:ilvl w:val="0"/>
          <w:numId w:val="5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постави повеќегодишни програми за структурни мерки.</w:t>
      </w:r>
    </w:p>
    <w:p w14:paraId="0142803B" w14:textId="2529A13A" w:rsidR="003D4454" w:rsidRPr="00C9671E" w:rsidRDefault="003D4454" w:rsidP="006E4EB0">
      <w:pPr>
        <w:spacing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Бидејќи Северна Македонија има само внатрешен риболов во езера и аквакултура, голем дел од правото на ЕУ за рибарство не е применлив. Меѓутоа, националната правна рамка не оди во чекор со промените во Заедничката политика за рибарство на ЕУ.</w:t>
      </w:r>
    </w:p>
    <w:p w14:paraId="6F3DFFD1" w14:textId="491AE764" w:rsidR="003D4454" w:rsidRPr="00C9671E" w:rsidRDefault="003D4454" w:rsidP="006E4EB0">
      <w:pPr>
        <w:spacing w:after="120" w:line="240" w:lineRule="auto"/>
        <w:jc w:val="both"/>
        <w:rPr>
          <w:rFonts w:ascii="Times New Roman" w:hAnsi="Times New Roman" w:cs="Times New Roman"/>
          <w:bCs/>
          <w:sz w:val="24"/>
          <w:szCs w:val="24"/>
        </w:rPr>
      </w:pPr>
      <w:r w:rsidRPr="00C9671E">
        <w:rPr>
          <w:rFonts w:ascii="Times New Roman" w:hAnsi="Times New Roman" w:cs="Times New Roman"/>
          <w:sz w:val="24"/>
          <w:szCs w:val="24"/>
        </w:rPr>
        <w:t xml:space="preserve">Административните капацитети за </w:t>
      </w:r>
      <w:r w:rsidRPr="00C9671E">
        <w:rPr>
          <w:rFonts w:ascii="Times New Roman" w:hAnsi="Times New Roman" w:cs="Times New Roman"/>
          <w:b/>
          <w:sz w:val="24"/>
          <w:szCs w:val="24"/>
        </w:rPr>
        <w:t>управување со ресурсите и возниот парк</w:t>
      </w:r>
      <w:r w:rsidRPr="00C9671E">
        <w:rPr>
          <w:rFonts w:ascii="Times New Roman" w:hAnsi="Times New Roman" w:cs="Times New Roman"/>
          <w:sz w:val="24"/>
          <w:szCs w:val="24"/>
        </w:rPr>
        <w:t xml:space="preserve"> и </w:t>
      </w:r>
      <w:r w:rsidRPr="00C9671E">
        <w:rPr>
          <w:rFonts w:ascii="Times New Roman" w:hAnsi="Times New Roman" w:cs="Times New Roman"/>
          <w:b/>
          <w:sz w:val="24"/>
          <w:szCs w:val="24"/>
        </w:rPr>
        <w:t>инспекциите и контролата</w:t>
      </w:r>
      <w:r w:rsidRPr="00C9671E">
        <w:rPr>
          <w:rFonts w:ascii="Times New Roman" w:hAnsi="Times New Roman" w:cs="Times New Roman"/>
          <w:sz w:val="24"/>
          <w:szCs w:val="24"/>
        </w:rPr>
        <w:t xml:space="preserve"> на политиката за рибарство остануваат недоволни. Капацитетите за контрола на нелегален, непријавен и нерегулиран риболов (ННН) во согласност со барањата на ЕУ треба да се подобрат. Во извештајниот период нема напредок за усогласување на националната политика и правната рамка со правото на ЕУ. Северна Македонија треба да продолжи со зајакнување на капацитетите за креирање, спроведување и примена на политики. Целокупната координација, вклучувајќи ја и соработката со надлежните органи за животна средина, во однос на заштита на биодиверзитетот треба да се зајакне.</w:t>
      </w:r>
    </w:p>
    <w:p w14:paraId="388BF175" w14:textId="282BBF72"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szCs w:val="24"/>
        </w:rPr>
        <w:t>Структурните мерки</w:t>
      </w:r>
      <w:r w:rsidRPr="00C9671E">
        <w:rPr>
          <w:rFonts w:ascii="Times New Roman" w:hAnsi="Times New Roman" w:cs="Times New Roman"/>
          <w:sz w:val="24"/>
          <w:szCs w:val="24"/>
        </w:rPr>
        <w:t xml:space="preserve"> се недоволни за развој на аквакултурата и за обнова на рибните фондови. Системот за </w:t>
      </w:r>
      <w:r>
        <w:rPr>
          <w:rFonts w:ascii="Times New Roman" w:hAnsi="Times New Roman" w:cs="Times New Roman"/>
          <w:sz w:val="24"/>
          <w:szCs w:val="24"/>
        </w:rPr>
        <w:t>со</w:t>
      </w:r>
      <w:r w:rsidRPr="00C9671E">
        <w:rPr>
          <w:rFonts w:ascii="Times New Roman" w:hAnsi="Times New Roman" w:cs="Times New Roman"/>
          <w:sz w:val="24"/>
          <w:szCs w:val="24"/>
        </w:rPr>
        <w:t xml:space="preserve">бирање податоци за риболов и аквакултура треба и понатаму да се развива во согласност со правото на ЕУ. </w:t>
      </w:r>
    </w:p>
    <w:p w14:paraId="6BBAF689" w14:textId="315C4345" w:rsidR="003D4454" w:rsidRPr="00C9671E" w:rsidRDefault="003D4454" w:rsidP="006E4EB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Останува</w:t>
      </w:r>
      <w:r w:rsidRPr="00C9671E">
        <w:rPr>
          <w:rFonts w:ascii="Times New Roman" w:hAnsi="Times New Roman" w:cs="Times New Roman"/>
          <w:sz w:val="24"/>
          <w:szCs w:val="24"/>
        </w:rPr>
        <w:t xml:space="preserve"> да се постигне усогласување на </w:t>
      </w:r>
      <w:r w:rsidRPr="00C9671E">
        <w:rPr>
          <w:rFonts w:ascii="Times New Roman" w:hAnsi="Times New Roman" w:cs="Times New Roman"/>
          <w:b/>
          <w:sz w:val="24"/>
          <w:szCs w:val="24"/>
        </w:rPr>
        <w:t>политиката на пазарот</w:t>
      </w:r>
      <w:r w:rsidRPr="00C9671E">
        <w:rPr>
          <w:rFonts w:ascii="Times New Roman" w:hAnsi="Times New Roman" w:cs="Times New Roman"/>
          <w:sz w:val="24"/>
          <w:szCs w:val="24"/>
        </w:rPr>
        <w:t xml:space="preserve"> и </w:t>
      </w:r>
      <w:r w:rsidRPr="00C9671E">
        <w:rPr>
          <w:rFonts w:ascii="Times New Roman" w:hAnsi="Times New Roman" w:cs="Times New Roman"/>
          <w:b/>
          <w:sz w:val="24"/>
          <w:szCs w:val="24"/>
        </w:rPr>
        <w:t>државната помош</w:t>
      </w:r>
      <w:r w:rsidRPr="00C9671E">
        <w:rPr>
          <w:rFonts w:ascii="Times New Roman" w:hAnsi="Times New Roman" w:cs="Times New Roman"/>
          <w:sz w:val="24"/>
          <w:szCs w:val="24"/>
        </w:rPr>
        <w:t xml:space="preserve"> и да се осигури усогласување со Регулативата на ЕУ за јагулите.</w:t>
      </w:r>
    </w:p>
    <w:p w14:paraId="7E90C839"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lastRenderedPageBreak/>
        <w:t xml:space="preserve">Состаноците за соработка за </w:t>
      </w:r>
      <w:r w:rsidRPr="00C9671E">
        <w:rPr>
          <w:rFonts w:ascii="Times New Roman" w:hAnsi="Times New Roman" w:cs="Times New Roman"/>
          <w:b/>
          <w:sz w:val="24"/>
          <w:szCs w:val="24"/>
        </w:rPr>
        <w:t>меѓународни договори</w:t>
      </w:r>
      <w:r w:rsidRPr="00C9671E">
        <w:rPr>
          <w:rFonts w:ascii="Times New Roman" w:hAnsi="Times New Roman" w:cs="Times New Roman"/>
          <w:sz w:val="24"/>
          <w:szCs w:val="24"/>
        </w:rPr>
        <w:t xml:space="preserve"> за управување со рибарство беа ограничени поради рестрикциите на КОВИД-19. </w:t>
      </w:r>
    </w:p>
    <w:p w14:paraId="135E26A0" w14:textId="77777777" w:rsidR="003D4454" w:rsidRPr="00C9671E" w:rsidRDefault="003D4454" w:rsidP="006E4EB0">
      <w:pPr>
        <w:pStyle w:val="Heading3"/>
      </w:pPr>
      <w:bookmarkStart w:id="288" w:name="_Toc84631609"/>
      <w:bookmarkStart w:id="289" w:name="_Toc84329807"/>
      <w:bookmarkStart w:id="290" w:name="_Toc51252794"/>
      <w:bookmarkStart w:id="291" w:name="_Toc9430371"/>
      <w:bookmarkStart w:id="292" w:name="_Toc115619819"/>
      <w:bookmarkStart w:id="293" w:name="_Toc117004190"/>
      <w:bookmarkStart w:id="294" w:name="_Toc348528258"/>
      <w:bookmarkStart w:id="295" w:name="_Toc343154723"/>
      <w:r w:rsidRPr="00C9671E">
        <w:t>Поглавје 22: Регионална политика и координација на структурни инструменти</w:t>
      </w:r>
      <w:bookmarkEnd w:id="288"/>
      <w:bookmarkEnd w:id="289"/>
      <w:bookmarkEnd w:id="290"/>
      <w:bookmarkEnd w:id="291"/>
      <w:bookmarkEnd w:id="292"/>
      <w:bookmarkEnd w:id="293"/>
    </w:p>
    <w:p w14:paraId="1DFC7B9A" w14:textId="77777777" w:rsidR="003D4454" w:rsidRPr="00C9671E" w:rsidRDefault="003D4454" w:rsidP="006E4EB0">
      <w:pPr>
        <w:tabs>
          <w:tab w:val="right" w:pos="9026"/>
        </w:tabs>
        <w:autoSpaceDE w:val="0"/>
        <w:autoSpaceDN w:val="0"/>
        <w:adjustRightInd w:val="0"/>
        <w:spacing w:after="120" w:line="240" w:lineRule="auto"/>
        <w:jc w:val="both"/>
        <w:rPr>
          <w:rFonts w:ascii="Times New Roman" w:hAnsi="Times New Roman" w:cs="Times New Roman"/>
          <w:b/>
          <w:bCs/>
          <w:sz w:val="24"/>
          <w:szCs w:val="24"/>
        </w:rPr>
      </w:pPr>
      <w:r w:rsidRPr="00C9671E">
        <w:rPr>
          <w:rFonts w:ascii="Times New Roman" w:hAnsi="Times New Roman" w:cs="Times New Roman"/>
          <w:i/>
          <w:sz w:val="24"/>
          <w:szCs w:val="24"/>
        </w:rPr>
        <w:t>Регионалната политика е главната инвестициска политика на ЕУ за одржлив и инклузивен економски раст. Земјите членки носат одговорност за спроведување, што бара соодветен административен капацитет и стабилно финансиско управување со дизајнирањето и извршувањето на проектот.</w:t>
      </w:r>
    </w:p>
    <w:p w14:paraId="7A1E949D" w14:textId="3B8D7327" w:rsidR="003D4454" w:rsidRPr="00C9671E" w:rsidRDefault="003D4454" w:rsidP="006E4EB0">
      <w:pPr>
        <w:pBdr>
          <w:top w:val="single" w:sz="4" w:space="1" w:color="auto"/>
          <w:left w:val="single" w:sz="4" w:space="0" w:color="auto"/>
          <w:bottom w:val="single" w:sz="4" w:space="1" w:color="auto"/>
          <w:right w:val="single" w:sz="4" w:space="1" w:color="auto"/>
        </w:pBdr>
        <w:shd w:val="clear" w:color="auto" w:fill="D9D9D9"/>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е </w:t>
      </w:r>
      <w:r w:rsidRPr="00C9671E">
        <w:rPr>
          <w:rFonts w:ascii="Times New Roman" w:hAnsi="Times New Roman" w:cs="Times New Roman"/>
          <w:b/>
          <w:sz w:val="24"/>
          <w:szCs w:val="24"/>
        </w:rPr>
        <w:t>умерено подготвена</w:t>
      </w:r>
      <w:r w:rsidRPr="00C9671E">
        <w:rPr>
          <w:rFonts w:ascii="Times New Roman" w:hAnsi="Times New Roman" w:cs="Times New Roman"/>
          <w:sz w:val="24"/>
          <w:szCs w:val="24"/>
        </w:rPr>
        <w:t xml:space="preserve"> во областа на регионалната политика и координација на структурните инструменти. </w:t>
      </w:r>
      <w:r w:rsidRPr="00C9671E">
        <w:rPr>
          <w:rFonts w:ascii="Times New Roman" w:hAnsi="Times New Roman" w:cs="Times New Roman"/>
          <w:b/>
          <w:sz w:val="24"/>
          <w:szCs w:val="24"/>
        </w:rPr>
        <w:t>Не е постигнат</w:t>
      </w:r>
      <w:r w:rsidRPr="00C9671E">
        <w:rPr>
          <w:rFonts w:ascii="Times New Roman" w:hAnsi="Times New Roman" w:cs="Times New Roman"/>
          <w:sz w:val="24"/>
          <w:szCs w:val="24"/>
        </w:rPr>
        <w:t xml:space="preserve"> </w:t>
      </w:r>
      <w:r w:rsidRPr="00C9671E">
        <w:rPr>
          <w:rFonts w:ascii="Times New Roman" w:hAnsi="Times New Roman" w:cs="Times New Roman"/>
          <w:b/>
          <w:sz w:val="24"/>
          <w:szCs w:val="24"/>
        </w:rPr>
        <w:t>напредок</w:t>
      </w:r>
      <w:r w:rsidRPr="00C9671E">
        <w:rPr>
          <w:rFonts w:ascii="Times New Roman" w:hAnsi="Times New Roman" w:cs="Times New Roman"/>
          <w:sz w:val="24"/>
          <w:szCs w:val="24"/>
        </w:rPr>
        <w:t xml:space="preserve"> во извештајниот период.</w:t>
      </w:r>
    </w:p>
    <w:p w14:paraId="02384ACB" w14:textId="64C35AF7" w:rsidR="003D4454" w:rsidRPr="00C9671E" w:rsidRDefault="003D4454" w:rsidP="006E4EB0">
      <w:pPr>
        <w:pBdr>
          <w:top w:val="single" w:sz="4" w:space="1" w:color="auto"/>
          <w:left w:val="single" w:sz="4" w:space="0" w:color="auto"/>
          <w:bottom w:val="single" w:sz="4" w:space="1" w:color="auto"/>
          <w:right w:val="single" w:sz="4" w:space="1" w:color="auto"/>
        </w:pBdr>
        <w:shd w:val="clear" w:color="auto" w:fill="D9D9D9"/>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Сите препораки од минатата година остануваат да важат. Во </w:t>
      </w:r>
      <w:r>
        <w:rPr>
          <w:rFonts w:ascii="Times New Roman" w:hAnsi="Times New Roman" w:cs="Times New Roman"/>
          <w:sz w:val="24"/>
          <w:szCs w:val="24"/>
        </w:rPr>
        <w:t>претстојната</w:t>
      </w:r>
      <w:r w:rsidRPr="00C9671E">
        <w:rPr>
          <w:rFonts w:ascii="Times New Roman" w:hAnsi="Times New Roman" w:cs="Times New Roman"/>
          <w:sz w:val="24"/>
          <w:szCs w:val="24"/>
        </w:rPr>
        <w:t xml:space="preserve"> година, земјата треба: </w:t>
      </w:r>
    </w:p>
    <w:p w14:paraId="4499F5AF" w14:textId="603AC1B3" w:rsidR="003D4454" w:rsidRPr="00C9671E" w:rsidRDefault="003D4454" w:rsidP="003D4454">
      <w:pPr>
        <w:numPr>
          <w:ilvl w:val="0"/>
          <w:numId w:val="60"/>
        </w:numPr>
        <w:pBdr>
          <w:top w:val="single" w:sz="4" w:space="1" w:color="auto"/>
          <w:left w:val="single" w:sz="4" w:space="0" w:color="auto"/>
          <w:bottom w:val="single" w:sz="4" w:space="1" w:color="auto"/>
          <w:right w:val="single" w:sz="4" w:space="1" w:color="auto"/>
        </w:pBdr>
        <w:shd w:val="clear" w:color="auto" w:fill="D9D9D9"/>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да го надгради институционалниот, административниот и техничкиот капацитет за управување со фондовите на ЕУ со донесување на политиката за задржување на сите вработени, зајакнување на механизмот за создавање капацитет, подобрување на спроведувањето на препораките од ЕУ и од ревизијата, усогласување на системите за управување и контрола со барањата на ИПА III и подобрување на динамиката за спроведување на </w:t>
      </w:r>
      <w:r>
        <w:rPr>
          <w:rFonts w:ascii="Times New Roman" w:hAnsi="Times New Roman" w:cs="Times New Roman"/>
          <w:sz w:val="24"/>
          <w:szCs w:val="24"/>
        </w:rPr>
        <w:t>доделени ЕУ средства</w:t>
      </w:r>
      <w:r w:rsidRPr="00C9671E">
        <w:rPr>
          <w:rFonts w:ascii="Times New Roman" w:hAnsi="Times New Roman" w:cs="Times New Roman"/>
          <w:sz w:val="24"/>
          <w:szCs w:val="24"/>
        </w:rPr>
        <w:t>, особено за тековните проекти</w:t>
      </w:r>
      <w:r>
        <w:rPr>
          <w:rFonts w:ascii="Times New Roman" w:hAnsi="Times New Roman" w:cs="Times New Roman"/>
          <w:sz w:val="24"/>
          <w:szCs w:val="24"/>
        </w:rPr>
        <w:t xml:space="preserve"> обележани со знаменце</w:t>
      </w:r>
      <w:r w:rsidRPr="00C9671E">
        <w:rPr>
          <w:rFonts w:ascii="Times New Roman" w:hAnsi="Times New Roman" w:cs="Times New Roman"/>
          <w:sz w:val="24"/>
          <w:szCs w:val="24"/>
        </w:rPr>
        <w:t xml:space="preserve"> на </w:t>
      </w:r>
      <w:r>
        <w:rPr>
          <w:rFonts w:ascii="Times New Roman" w:hAnsi="Times New Roman" w:cs="Times New Roman"/>
          <w:sz w:val="24"/>
          <w:szCs w:val="24"/>
        </w:rPr>
        <w:t>Е</w:t>
      </w:r>
      <w:r w:rsidRPr="00C9671E">
        <w:rPr>
          <w:rFonts w:ascii="Times New Roman" w:hAnsi="Times New Roman" w:cs="Times New Roman"/>
          <w:sz w:val="24"/>
          <w:szCs w:val="24"/>
        </w:rPr>
        <w:t>кономскиот и инвестицискиот план, како што е железничкиот и патниот коридор VIII и X, постројката за обработка на отпадни води во Скопје и сончевите електрани Осломеј 1 и 2 и Битола;</w:t>
      </w:r>
    </w:p>
    <w:p w14:paraId="61730D4C" w14:textId="47DC5755" w:rsidR="003D4454" w:rsidRPr="00C9671E" w:rsidRDefault="003D4454" w:rsidP="003D4454">
      <w:pPr>
        <w:numPr>
          <w:ilvl w:val="0"/>
          <w:numId w:val="60"/>
        </w:numPr>
        <w:pBdr>
          <w:top w:val="single" w:sz="4" w:space="1" w:color="auto"/>
          <w:left w:val="single" w:sz="4" w:space="0" w:color="auto"/>
          <w:bottom w:val="single" w:sz="4" w:space="1" w:color="auto"/>
          <w:right w:val="single" w:sz="4" w:space="1" w:color="auto"/>
        </w:pBdr>
        <w:shd w:val="clear" w:color="auto" w:fill="D9D9D9"/>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итно да ја зајакне инвестициската политика со рационализирање на инвестициското портфолио врз основа на сигурна, транспарентна и инклузивна методологија, јасни одговорности на засегнатите страни, остварлива рамка за јавно-приватно партнерство, земајќи ги предвид сеопфатните приоритети и начела (</w:t>
      </w:r>
      <w:r>
        <w:rPr>
          <w:rFonts w:ascii="Times New Roman" w:hAnsi="Times New Roman" w:cs="Times New Roman"/>
          <w:sz w:val="24"/>
          <w:szCs w:val="24"/>
        </w:rPr>
        <w:t>З</w:t>
      </w:r>
      <w:r w:rsidRPr="00C9671E">
        <w:rPr>
          <w:rFonts w:ascii="Times New Roman" w:hAnsi="Times New Roman" w:cs="Times New Roman"/>
          <w:sz w:val="24"/>
          <w:szCs w:val="24"/>
        </w:rPr>
        <w:t xml:space="preserve">елен договор, енергетска независност, </w:t>
      </w:r>
      <w:r>
        <w:rPr>
          <w:rFonts w:ascii="Times New Roman" w:hAnsi="Times New Roman" w:cs="Times New Roman"/>
          <w:sz w:val="24"/>
          <w:szCs w:val="24"/>
        </w:rPr>
        <w:t>начелно никој да не</w:t>
      </w:r>
      <w:r w:rsidRPr="00C9671E">
        <w:rPr>
          <w:rFonts w:ascii="Times New Roman" w:hAnsi="Times New Roman" w:cs="Times New Roman"/>
          <w:sz w:val="24"/>
          <w:szCs w:val="24"/>
        </w:rPr>
        <w:t xml:space="preserve"> заостане);</w:t>
      </w:r>
    </w:p>
    <w:p w14:paraId="15D1FB79" w14:textId="77777777" w:rsidR="003D4454" w:rsidRPr="00C9671E" w:rsidRDefault="003D4454" w:rsidP="003D4454">
      <w:pPr>
        <w:numPr>
          <w:ilvl w:val="0"/>
          <w:numId w:val="60"/>
        </w:numPr>
        <w:pBdr>
          <w:top w:val="single" w:sz="4" w:space="1" w:color="auto"/>
          <w:left w:val="single" w:sz="4" w:space="0" w:color="auto"/>
          <w:bottom w:val="single" w:sz="4" w:space="1" w:color="auto"/>
          <w:right w:val="single" w:sz="4" w:space="1" w:color="auto"/>
        </w:pBdr>
        <w:shd w:val="clear" w:color="auto" w:fill="D9D9D9"/>
        <w:autoSpaceDE w:val="0"/>
        <w:autoSpaceDN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да ги забрза реформите во областите на управување со јавни финансии, животна средина, транспорт, енергија и дигитална поврзаност и пазар на труд со големо влијание врз регионалната политика и развој; да го зајакне процесот на децентрализација преку одржливи финансиски рамки за општините и да се засили политичкиот дијалог за регионален развој.</w:t>
      </w:r>
    </w:p>
    <w:p w14:paraId="33A902C9" w14:textId="6B0F3144"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правната рамка</w:t>
      </w:r>
      <w:r w:rsidRPr="00C9671E">
        <w:rPr>
          <w:rFonts w:ascii="Times New Roman" w:hAnsi="Times New Roman" w:cs="Times New Roman"/>
          <w:sz w:val="24"/>
          <w:szCs w:val="24"/>
        </w:rPr>
        <w:t>, беше постигнат одреден напредок со донесувањето на Законот за финансирање на локалните самоуправи и Законот за буџет. Клучните закони, повеќегодишната рамка на трошоци и буџетската рамка заснована на утврдена програма и Закон за систем за</w:t>
      </w:r>
      <w:r>
        <w:rPr>
          <w:rFonts w:ascii="Times New Roman" w:hAnsi="Times New Roman" w:cs="Times New Roman"/>
          <w:sz w:val="24"/>
          <w:szCs w:val="24"/>
        </w:rPr>
        <w:t xml:space="preserve"> </w:t>
      </w:r>
      <w:r w:rsidRPr="00C9671E">
        <w:rPr>
          <w:rFonts w:ascii="Times New Roman" w:hAnsi="Times New Roman" w:cs="Times New Roman"/>
          <w:sz w:val="24"/>
          <w:szCs w:val="24"/>
        </w:rPr>
        <w:t xml:space="preserve">внатрешна финансиска контрола во јавниот сектор </w:t>
      </w:r>
      <w:r>
        <w:rPr>
          <w:rFonts w:ascii="Times New Roman" w:hAnsi="Times New Roman" w:cs="Times New Roman"/>
          <w:sz w:val="24"/>
          <w:szCs w:val="24"/>
        </w:rPr>
        <w:t>допрва</w:t>
      </w:r>
      <w:r w:rsidRPr="00C9671E">
        <w:rPr>
          <w:rFonts w:ascii="Times New Roman" w:hAnsi="Times New Roman" w:cs="Times New Roman"/>
          <w:sz w:val="24"/>
          <w:szCs w:val="24"/>
        </w:rPr>
        <w:t xml:space="preserve"> треба да се донесат. </w:t>
      </w:r>
    </w:p>
    <w:p w14:paraId="75DCAAD7"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Планот за забрзување на раст (ГАП) објавен во октомври 2021 година предвидува стратешка и синергиска рамка за насочување на национални инвестиции, инвестиции на ЕУ и на други приватни инвеститори во регионалниот развој. Тој дополнително ја подобрува усогласеноста на правната рамка за јавно-приватно партнерство со законодавството на ЕУ. </w:t>
      </w:r>
    </w:p>
    <w:p w14:paraId="2D92E16F" w14:textId="3718F300"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февруари 2022 година, Владата ја донесе </w:t>
      </w:r>
      <w:r>
        <w:rPr>
          <w:rFonts w:ascii="Times New Roman" w:hAnsi="Times New Roman" w:cs="Times New Roman"/>
          <w:sz w:val="24"/>
          <w:szCs w:val="24"/>
        </w:rPr>
        <w:t>П</w:t>
      </w:r>
      <w:r w:rsidRPr="00C9671E">
        <w:rPr>
          <w:rFonts w:ascii="Times New Roman" w:hAnsi="Times New Roman" w:cs="Times New Roman"/>
          <w:sz w:val="24"/>
          <w:szCs w:val="24"/>
        </w:rPr>
        <w:t xml:space="preserve">рограмата за спроведување на </w:t>
      </w:r>
      <w:r>
        <w:rPr>
          <w:rFonts w:ascii="Times New Roman" w:hAnsi="Times New Roman" w:cs="Times New Roman"/>
          <w:sz w:val="24"/>
          <w:szCs w:val="24"/>
        </w:rPr>
        <w:t>С</w:t>
      </w:r>
      <w:r w:rsidRPr="00C9671E">
        <w:rPr>
          <w:rFonts w:ascii="Times New Roman" w:hAnsi="Times New Roman" w:cs="Times New Roman"/>
          <w:sz w:val="24"/>
          <w:szCs w:val="24"/>
        </w:rPr>
        <w:t xml:space="preserve">тратегијата за регионален развој, издвојувајќи околу 1 милијарда евра за регионален развој за периодот 2021-2024 година. Земјата воспостави електронски систем за координација при планирање, спроведување, следење и оценување на политиката за </w:t>
      </w:r>
      <w:r>
        <w:rPr>
          <w:rFonts w:ascii="Times New Roman" w:hAnsi="Times New Roman" w:cs="Times New Roman"/>
          <w:sz w:val="24"/>
          <w:szCs w:val="24"/>
        </w:rPr>
        <w:lastRenderedPageBreak/>
        <w:t>рамномерен</w:t>
      </w:r>
      <w:r w:rsidRPr="00C9671E">
        <w:rPr>
          <w:rFonts w:ascii="Times New Roman" w:hAnsi="Times New Roman" w:cs="Times New Roman"/>
          <w:sz w:val="24"/>
          <w:szCs w:val="24"/>
        </w:rPr>
        <w:t xml:space="preserve"> развој </w:t>
      </w:r>
      <w:r w:rsidRPr="00C9671E">
        <w:rPr>
          <w:rFonts w:ascii="Times New Roman" w:hAnsi="Times New Roman" w:cs="Times New Roman"/>
          <w:sz w:val="24"/>
          <w:szCs w:val="24"/>
          <w:cs/>
        </w:rPr>
        <w:t>„</w:t>
      </w:r>
      <w:r w:rsidRPr="00C9671E">
        <w:rPr>
          <w:rFonts w:ascii="Times New Roman" w:hAnsi="Times New Roman" w:cs="Times New Roman"/>
          <w:sz w:val="24"/>
          <w:szCs w:val="24"/>
        </w:rPr>
        <w:t>СиРеРа</w:t>
      </w:r>
      <w:r w:rsidRPr="00C9671E">
        <w:rPr>
          <w:rFonts w:ascii="Times New Roman" w:hAnsi="Times New Roman" w:cs="Times New Roman"/>
          <w:sz w:val="24"/>
          <w:szCs w:val="24"/>
          <w:cs/>
        </w:rPr>
        <w:t>“</w:t>
      </w:r>
      <w:r w:rsidRPr="00C9671E">
        <w:rPr>
          <w:rFonts w:ascii="Times New Roman" w:hAnsi="Times New Roman" w:cs="Times New Roman"/>
          <w:sz w:val="24"/>
          <w:szCs w:val="24"/>
        </w:rPr>
        <w:t>. Во јули 2022 година беше издвоено финансирање од ЕУ за 19 проекти што се однесуваат на регионална нееднаквост.</w:t>
      </w:r>
    </w:p>
    <w:p w14:paraId="76DF2561" w14:textId="77777777" w:rsidR="003D4454" w:rsidRPr="00C9671E" w:rsidRDefault="003D4454" w:rsidP="006E4EB0">
      <w:pPr>
        <w:spacing w:after="120" w:line="240" w:lineRule="auto"/>
        <w:jc w:val="both"/>
        <w:rPr>
          <w:rFonts w:ascii="Times New Roman" w:hAnsi="Times New Roman" w:cs="Times New Roman"/>
          <w:iCs/>
          <w:sz w:val="24"/>
          <w:szCs w:val="24"/>
        </w:rPr>
      </w:pPr>
      <w:r w:rsidRPr="00C9671E">
        <w:rPr>
          <w:rFonts w:ascii="Times New Roman" w:hAnsi="Times New Roman" w:cs="Times New Roman"/>
          <w:sz w:val="24"/>
          <w:szCs w:val="24"/>
        </w:rPr>
        <w:t>Не е постигнат значителен напредок за децентрализација на услуги и реорганизација на надлежности помеѓу централното и субнационалното ниво.</w:t>
      </w:r>
    </w:p>
    <w:p w14:paraId="69A9F412" w14:textId="532F12FA"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szCs w:val="24"/>
        </w:rPr>
        <w:t>Институционалната рамка</w:t>
      </w:r>
      <w:r w:rsidRPr="00C9671E">
        <w:rPr>
          <w:rFonts w:ascii="Times New Roman" w:hAnsi="Times New Roman" w:cs="Times New Roman"/>
          <w:sz w:val="24"/>
          <w:szCs w:val="24"/>
        </w:rPr>
        <w:t xml:space="preserve"> за управување со фондовите на ЕУ врз основа на ИПА II е воспоставена, но нејзината функција е загрозена од слабиот административен капацитет. Во декември 2021 година </w:t>
      </w:r>
      <w:r>
        <w:rPr>
          <w:rFonts w:ascii="Times New Roman" w:hAnsi="Times New Roman" w:cs="Times New Roman"/>
          <w:sz w:val="24"/>
          <w:szCs w:val="24"/>
        </w:rPr>
        <w:t>Ј</w:t>
      </w:r>
      <w:r w:rsidRPr="00C9671E">
        <w:rPr>
          <w:rFonts w:ascii="Times New Roman" w:hAnsi="Times New Roman" w:cs="Times New Roman"/>
          <w:sz w:val="24"/>
          <w:szCs w:val="24"/>
        </w:rPr>
        <w:t>авното претпријатие за железничка инфраструктурата (ЈПЖС) беше интегрирано во оперативна структура што управува со фондовите на ЕУ врз основа на повеќегодишната програма за транспорт на ИПА II (за периодот 2014-2020 година). Во февруари 2022 година Владата го донесе акцискиот план за воспоставување системи за финансиско управување и контрола за ИПА III, кој опфаќа прилагодување во правната рамка, организациското поставување, мерките за градење капацитети и подготовка на барањето за доверување задачи поврзани со буџет. Спроведувањето на тој акциски план е во тек. Треба да се донесат одлуки за именување институции и тела одговорни за спроведување на ИПА III, земајќи ја предвид нивната идна улога во политиката за кохезија.</w:t>
      </w:r>
    </w:p>
    <w:p w14:paraId="38053DDE"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b/>
          <w:sz w:val="24"/>
          <w:szCs w:val="24"/>
        </w:rPr>
        <w:t>Административниот капацитет</w:t>
      </w:r>
      <w:r w:rsidRPr="00C9671E">
        <w:rPr>
          <w:rFonts w:ascii="Times New Roman" w:hAnsi="Times New Roman" w:cs="Times New Roman"/>
          <w:sz w:val="24"/>
          <w:szCs w:val="24"/>
        </w:rPr>
        <w:t xml:space="preserve"> продолжи да се влошува поради недостаток во управувањето со човечки ресурси, недостаток на политика за задржување на персоналот и слаба функцијата за обука и јакнење на капацитетите. Иако планот за вработување беше донесен во 2020 година и спроведен понатаму, тој не може да го надомести големиот обрт низ структурите на ИПА, вклучително и на управувачко ниво. Минатата година структурите за управување со фондови на ЕУ работеа со помалку од 60% овластен персонал и со празни клучни раководни места.</w:t>
      </w:r>
    </w:p>
    <w:p w14:paraId="3C2333A2" w14:textId="77777777" w:rsidR="003D4454" w:rsidRPr="00C9671E" w:rsidRDefault="003D4454" w:rsidP="006E4EB0">
      <w:pPr>
        <w:widowControl w:val="0"/>
        <w:snapToGrid w:val="0"/>
        <w:spacing w:after="120" w:line="240" w:lineRule="auto"/>
        <w:jc w:val="both"/>
        <w:rPr>
          <w:rFonts w:ascii="Times New Roman" w:eastAsia="Cambria" w:hAnsi="Times New Roman" w:cs="Times New Roman"/>
          <w:sz w:val="24"/>
          <w:szCs w:val="24"/>
        </w:rPr>
      </w:pPr>
      <w:r w:rsidRPr="00C9671E">
        <w:rPr>
          <w:rFonts w:ascii="Times New Roman" w:hAnsi="Times New Roman" w:cs="Times New Roman"/>
          <w:sz w:val="24"/>
          <w:szCs w:val="24"/>
        </w:rPr>
        <w:t xml:space="preserve">Ниското кадровско ниво во структурите на ИПА продолжува да прави притисок врз воспоставените системи за </w:t>
      </w:r>
      <w:r w:rsidRPr="00C9671E">
        <w:rPr>
          <w:rFonts w:ascii="Times New Roman" w:hAnsi="Times New Roman" w:cs="Times New Roman"/>
          <w:b/>
          <w:sz w:val="24"/>
          <w:szCs w:val="24"/>
        </w:rPr>
        <w:t>финансиско управување и контрола</w:t>
      </w:r>
      <w:r w:rsidRPr="00C9671E">
        <w:rPr>
          <w:rFonts w:ascii="Times New Roman" w:hAnsi="Times New Roman" w:cs="Times New Roman"/>
          <w:sz w:val="24"/>
          <w:szCs w:val="24"/>
        </w:rPr>
        <w:t xml:space="preserve"> и негативно да се одразува на квалитетот на функциите на набавка, евалуација, склучување договори, следење и спроведување. Ниското кадровско ниво и слабите административни капацитети во структурите на ИПА предизвикуваат доцнење во спроведувањето, особено на повеќегодишната програма за животна средина и транспорт на ИПА II (за периодот 2014-2020 година), под индиректно управување, што претставува висок ризик од значително откажување на фондови. Доцнењето при спроведување на сите важни проекти е сè уште сериозен проблем. Капацитетите на структурите на индиректното управување треба дополнително да се зајакнат за да осигурат ефикасно и навремено склучување договори и спроведување ИПА програми и да можат да работат во средина на </w:t>
      </w:r>
      <w:r w:rsidRPr="00C9671E">
        <w:rPr>
          <w:rFonts w:ascii="Times New Roman" w:hAnsi="Times New Roman" w:cs="Times New Roman"/>
          <w:i/>
          <w:sz w:val="24"/>
          <w:szCs w:val="24"/>
        </w:rPr>
        <w:t>екс пост</w:t>
      </w:r>
      <w:r w:rsidRPr="00C9671E">
        <w:rPr>
          <w:rFonts w:ascii="Times New Roman" w:hAnsi="Times New Roman" w:cs="Times New Roman"/>
          <w:sz w:val="24"/>
          <w:szCs w:val="24"/>
        </w:rPr>
        <w:t xml:space="preserve"> контрола.</w:t>
      </w:r>
    </w:p>
    <w:p w14:paraId="2D809A5B" w14:textId="4FF7E1B4"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напредок за </w:t>
      </w:r>
      <w:r w:rsidRPr="00C9671E">
        <w:rPr>
          <w:rFonts w:ascii="Times New Roman" w:hAnsi="Times New Roman" w:cs="Times New Roman"/>
          <w:b/>
          <w:sz w:val="24"/>
          <w:szCs w:val="24"/>
        </w:rPr>
        <w:t>програмирање</w:t>
      </w:r>
      <w:r w:rsidRPr="00C9671E">
        <w:rPr>
          <w:rFonts w:ascii="Times New Roman" w:hAnsi="Times New Roman" w:cs="Times New Roman"/>
          <w:sz w:val="24"/>
          <w:szCs w:val="24"/>
        </w:rPr>
        <w:t xml:space="preserve"> на ИПА III, што се одрази врз подготовката на стратегискиот одговор за програмската рамка ИПА III, на завршеното програмирање на ИПА 2021 и на напредување во програмирање на ИПА за периодот 2022-2023 година. Северна Македонија продолжува со подобрување на дијалогот за секторски политики и на процесот на стратегиско планирање што е клучно за програмирање на фондовите на ЕУ. Програмата за реформа на управувањето со јавни финансии (УЈФ) беше донесена во јуни 2022 година. Треба да се осигури донесувањето на други клучни стратегии, како што е реформа на јавната администрација. </w:t>
      </w:r>
    </w:p>
    <w:p w14:paraId="39AE59FE" w14:textId="0FAD849D"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Северна Македонија продолжува да стекнува искуство во програмирање и спроведување на територијална соработка за регионална политика преку учеството во прекугранична соработка и програми за транснационална и меѓурегионална соработка. Еднакво, Северна Македонија учествува во </w:t>
      </w:r>
      <w:r>
        <w:rPr>
          <w:rFonts w:ascii="Times New Roman" w:hAnsi="Times New Roman" w:cs="Times New Roman"/>
          <w:sz w:val="24"/>
          <w:szCs w:val="24"/>
        </w:rPr>
        <w:t>С</w:t>
      </w:r>
      <w:r w:rsidRPr="00C9671E">
        <w:rPr>
          <w:rFonts w:ascii="Times New Roman" w:hAnsi="Times New Roman" w:cs="Times New Roman"/>
          <w:sz w:val="24"/>
          <w:szCs w:val="24"/>
        </w:rPr>
        <w:t>тратегијата на ЕУ за Јадранско-</w:t>
      </w:r>
      <w:r>
        <w:rPr>
          <w:rFonts w:ascii="Times New Roman" w:hAnsi="Times New Roman" w:cs="Times New Roman"/>
          <w:sz w:val="24"/>
          <w:szCs w:val="24"/>
        </w:rPr>
        <w:t>ј</w:t>
      </w:r>
      <w:r w:rsidRPr="00C9671E">
        <w:rPr>
          <w:rFonts w:ascii="Times New Roman" w:hAnsi="Times New Roman" w:cs="Times New Roman"/>
          <w:sz w:val="24"/>
          <w:szCs w:val="24"/>
        </w:rPr>
        <w:t xml:space="preserve">онскиот </w:t>
      </w:r>
      <w:r>
        <w:rPr>
          <w:rFonts w:ascii="Times New Roman" w:hAnsi="Times New Roman" w:cs="Times New Roman"/>
          <w:sz w:val="24"/>
          <w:szCs w:val="24"/>
        </w:rPr>
        <w:lastRenderedPageBreak/>
        <w:t>р</w:t>
      </w:r>
      <w:r w:rsidRPr="00C9671E">
        <w:rPr>
          <w:rFonts w:ascii="Times New Roman" w:hAnsi="Times New Roman" w:cs="Times New Roman"/>
          <w:sz w:val="24"/>
          <w:szCs w:val="24"/>
        </w:rPr>
        <w:t>егион (</w:t>
      </w:r>
      <w:r w:rsidRPr="001A4EA4">
        <w:rPr>
          <w:rFonts w:ascii="Times New Roman" w:hAnsi="Times New Roman" w:cs="Times New Roman"/>
          <w:sz w:val="24"/>
          <w:szCs w:val="24"/>
        </w:rPr>
        <w:t>EUSAIR</w:t>
      </w:r>
      <w:r w:rsidRPr="00C9671E">
        <w:rPr>
          <w:rFonts w:ascii="Times New Roman" w:hAnsi="Times New Roman" w:cs="Times New Roman"/>
          <w:sz w:val="24"/>
          <w:szCs w:val="24"/>
        </w:rPr>
        <w:t>), што ја унапредува соработката и синергијата меѓу земјите учеснички на ЕУ и земји што не се членки на ЕУ.</w:t>
      </w:r>
    </w:p>
    <w:p w14:paraId="70BF434E" w14:textId="0717AA67" w:rsidR="003D4454" w:rsidRPr="00C9671E" w:rsidRDefault="003D4454" w:rsidP="006E4EB0">
      <w:pPr>
        <w:autoSpaceDE w:val="0"/>
        <w:autoSpaceDN w:val="0"/>
        <w:adjustRightInd w:val="0"/>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напредок во однос на </w:t>
      </w:r>
      <w:r w:rsidRPr="00C9671E">
        <w:rPr>
          <w:rFonts w:ascii="Times New Roman" w:hAnsi="Times New Roman" w:cs="Times New Roman"/>
          <w:b/>
          <w:sz w:val="24"/>
          <w:szCs w:val="24"/>
        </w:rPr>
        <w:t>следење и евалуација</w:t>
      </w:r>
      <w:r w:rsidRPr="00C9671E">
        <w:rPr>
          <w:rFonts w:ascii="Times New Roman" w:hAnsi="Times New Roman" w:cs="Times New Roman"/>
          <w:sz w:val="24"/>
          <w:szCs w:val="24"/>
        </w:rPr>
        <w:t>.</w:t>
      </w:r>
      <w:r w:rsidRPr="00C9671E">
        <w:rPr>
          <w:rFonts w:ascii="Times New Roman" w:hAnsi="Times New Roman" w:cs="Times New Roman"/>
          <w:b/>
          <w:sz w:val="24"/>
          <w:szCs w:val="24"/>
        </w:rPr>
        <w:t xml:space="preserve"> </w:t>
      </w:r>
      <w:r w:rsidRPr="00C9671E">
        <w:rPr>
          <w:rFonts w:ascii="Times New Roman" w:hAnsi="Times New Roman" w:cs="Times New Roman"/>
          <w:sz w:val="24"/>
          <w:szCs w:val="24"/>
        </w:rPr>
        <w:t xml:space="preserve">Во декември 2021 година, Северна Македонија донесе рамка за оцена на работење, со официјално воспоставување на секторските индикатори и нивните цели до 2027 година, која служи како инструмент за следење, мерење, визуелизирање и соопштување на напредокот на земјата при спроведувањето на секторските реформи. Земјата го подобри квалитетот на годишниот извештај на ИПА, на учеството во комитетите на ИПА и на </w:t>
      </w:r>
      <w:r w:rsidRPr="009C30D0">
        <w:rPr>
          <w:rFonts w:ascii="Times New Roman" w:hAnsi="Times New Roman" w:cs="Times New Roman"/>
          <w:sz w:val="24"/>
          <w:szCs w:val="24"/>
        </w:rPr>
        <w:t>С</w:t>
      </w:r>
      <w:r w:rsidRPr="00705B41">
        <w:rPr>
          <w:rFonts w:ascii="Times New Roman" w:hAnsi="Times New Roman" w:cs="Times New Roman"/>
          <w:sz w:val="24"/>
          <w:szCs w:val="24"/>
        </w:rPr>
        <w:t>С</w:t>
      </w:r>
      <w:r w:rsidRPr="006451E3">
        <w:rPr>
          <w:rFonts w:ascii="Times New Roman" w:hAnsi="Times New Roman" w:cs="Times New Roman"/>
          <w:sz w:val="24"/>
          <w:szCs w:val="24"/>
        </w:rPr>
        <w:t>А</w:t>
      </w:r>
      <w:r w:rsidRPr="00C9671E">
        <w:rPr>
          <w:rFonts w:ascii="Times New Roman" w:hAnsi="Times New Roman" w:cs="Times New Roman"/>
          <w:sz w:val="24"/>
          <w:szCs w:val="24"/>
        </w:rPr>
        <w:t>, како и на следењето на заклучоците на билатералните дијалози помеѓу ЕУ и Северна Македонија. Сепак, треба да се подобри спроведувањето на заклучоците, бидејќи во просек само 50% од договорените заклучоци се спроведени. Улогата на НИПАК и на односните министри за почитување на обврските сè уште треба да се зајакнат.</w:t>
      </w:r>
    </w:p>
    <w:p w14:paraId="748605F6"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Националната стратегија за борба против измами за заштита на финансиските интереси на Европската Унија за периодот 2022-2025 година беше донесена во јуни 2022 година. Системот за заштита на финансиските интереси на ЕУ дополнително треба да се зајакне со донесување правна основа за работењето на Службата за координација на борба против измами (СКБПИ) што ја вклучува уредбата за структурата и одлуката за воспоставување мрежа на СКБПИ.</w:t>
      </w:r>
    </w:p>
    <w:p w14:paraId="549FADAB"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Воспоставена е внатрешна и надворешна </w:t>
      </w:r>
      <w:r w:rsidRPr="00C9671E">
        <w:rPr>
          <w:rFonts w:ascii="Times New Roman" w:hAnsi="Times New Roman" w:cs="Times New Roman"/>
          <w:b/>
          <w:sz w:val="24"/>
          <w:szCs w:val="24"/>
        </w:rPr>
        <w:t>ревизија</w:t>
      </w:r>
      <w:r w:rsidRPr="00C9671E">
        <w:rPr>
          <w:rFonts w:ascii="Times New Roman" w:hAnsi="Times New Roman" w:cs="Times New Roman"/>
          <w:sz w:val="24"/>
          <w:szCs w:val="24"/>
        </w:rPr>
        <w:t>. Капацитетот на ревизорското тело зајакна преку обука, градење капацитети и засилена соработка со ОЛАФ. Ревизорското тело продолжува да функционира според добар стандард, солидна методологија на ревизија и добро покривање со ревизија. Меѓутоа, спроведувањето на наодите идентификувани преку завршени редовни (системи, работење и сметки) и последователни ревизии продолжува да биде помало од 50% што претставува проблем.</w:t>
      </w:r>
    </w:p>
    <w:p w14:paraId="0CD66A57" w14:textId="77777777" w:rsidR="003D4454" w:rsidRPr="00C9671E" w:rsidRDefault="003D4454" w:rsidP="006E4EB0">
      <w:pPr>
        <w:pStyle w:val="Heading3"/>
      </w:pPr>
      <w:bookmarkStart w:id="296" w:name="_Toc84631610"/>
      <w:bookmarkStart w:id="297" w:name="_Toc84329808"/>
      <w:bookmarkStart w:id="298" w:name="_Toc51252802"/>
      <w:bookmarkStart w:id="299" w:name="_Toc9430380"/>
      <w:bookmarkStart w:id="300" w:name="_Toc115619820"/>
      <w:bookmarkStart w:id="301" w:name="_Toc117004191"/>
      <w:bookmarkEnd w:id="294"/>
      <w:bookmarkEnd w:id="295"/>
      <w:r w:rsidRPr="00C9671E">
        <w:t>Поглавје 33: Финансиски и буџетски одредби</w:t>
      </w:r>
      <w:bookmarkEnd w:id="296"/>
      <w:bookmarkEnd w:id="297"/>
      <w:bookmarkEnd w:id="298"/>
      <w:bookmarkEnd w:id="299"/>
      <w:bookmarkEnd w:id="300"/>
      <w:bookmarkEnd w:id="301"/>
    </w:p>
    <w:p w14:paraId="18BA50B1" w14:textId="77777777" w:rsidR="003D4454" w:rsidRPr="00C9671E" w:rsidRDefault="003D4454" w:rsidP="006E4EB0">
      <w:pPr>
        <w:autoSpaceDE w:val="0"/>
        <w:autoSpaceDN w:val="0"/>
        <w:adjustRightInd w:val="0"/>
        <w:spacing w:after="120" w:line="240" w:lineRule="auto"/>
        <w:jc w:val="both"/>
        <w:rPr>
          <w:rFonts w:ascii="Times New Roman" w:hAnsi="Times New Roman" w:cs="Times New Roman"/>
          <w:i/>
          <w:iCs/>
          <w:sz w:val="24"/>
          <w:szCs w:val="24"/>
        </w:rPr>
      </w:pPr>
      <w:r w:rsidRPr="00C9671E">
        <w:rPr>
          <w:rFonts w:ascii="Times New Roman" w:hAnsi="Times New Roman" w:cs="Times New Roman"/>
          <w:i/>
          <w:sz w:val="24"/>
          <w:szCs w:val="24"/>
        </w:rPr>
        <w:t>Ова поглавје ги опфаќа правилата за финансирањето на буџетот на ЕУ (</w:t>
      </w:r>
      <w:r w:rsidRPr="00C9671E">
        <w:rPr>
          <w:rFonts w:ascii="Times New Roman" w:hAnsi="Times New Roman" w:cs="Times New Roman"/>
          <w:i/>
          <w:sz w:val="24"/>
          <w:szCs w:val="24"/>
          <w:cs/>
        </w:rPr>
        <w:t>„</w:t>
      </w:r>
      <w:r w:rsidRPr="00C9671E">
        <w:rPr>
          <w:rFonts w:ascii="Times New Roman" w:hAnsi="Times New Roman" w:cs="Times New Roman"/>
          <w:i/>
          <w:sz w:val="24"/>
          <w:szCs w:val="24"/>
        </w:rPr>
        <w:t>сопствени ресурси</w:t>
      </w:r>
      <w:r w:rsidRPr="00C9671E">
        <w:rPr>
          <w:rFonts w:ascii="Times New Roman" w:hAnsi="Times New Roman" w:cs="Times New Roman"/>
          <w:i/>
          <w:sz w:val="24"/>
          <w:szCs w:val="24"/>
          <w:cs/>
        </w:rPr>
        <w:t>“</w:t>
      </w:r>
      <w:r w:rsidRPr="00C9671E">
        <w:rPr>
          <w:rFonts w:ascii="Times New Roman" w:hAnsi="Times New Roman" w:cs="Times New Roman"/>
          <w:i/>
          <w:sz w:val="24"/>
          <w:szCs w:val="24"/>
        </w:rPr>
        <w:t xml:space="preserve">). Овие ресурси главно се состојат од: i) придонеси врз основа на бруто-националниот доход на секоја земја членка; ii) царински давачки; iii) ресурс од нерециклирана пластика и iv) ресурс врз основа на данок на додадена вредност. Земјите членки мора да имаат соодветен административен капацитет за соодветно координирање и обезбедување правилна пресметка, собирање, плаќање и контрола на сопствените ресурси. </w:t>
      </w:r>
    </w:p>
    <w:p w14:paraId="3EB65BE9"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Подготовките од ова поглавје се во </w:t>
      </w:r>
      <w:r w:rsidRPr="00C9671E">
        <w:rPr>
          <w:rFonts w:ascii="Times New Roman" w:hAnsi="Times New Roman" w:cs="Times New Roman"/>
          <w:b/>
          <w:sz w:val="24"/>
          <w:szCs w:val="24"/>
        </w:rPr>
        <w:t>рана фаза</w:t>
      </w:r>
      <w:r w:rsidRPr="00C9671E">
        <w:rPr>
          <w:rFonts w:ascii="Times New Roman" w:hAnsi="Times New Roman" w:cs="Times New Roman"/>
          <w:sz w:val="24"/>
          <w:szCs w:val="24"/>
        </w:rPr>
        <w:t xml:space="preserve">. Постигнат е </w:t>
      </w:r>
      <w:r w:rsidRPr="00C9671E">
        <w:rPr>
          <w:rFonts w:ascii="Times New Roman" w:hAnsi="Times New Roman" w:cs="Times New Roman"/>
          <w:b/>
          <w:sz w:val="24"/>
          <w:szCs w:val="24"/>
        </w:rPr>
        <w:t>ограничен напредок</w:t>
      </w:r>
      <w:r w:rsidRPr="00C9671E">
        <w:rPr>
          <w:rFonts w:ascii="Times New Roman" w:hAnsi="Times New Roman" w:cs="Times New Roman"/>
          <w:sz w:val="24"/>
          <w:szCs w:val="24"/>
        </w:rPr>
        <w:t>. Националните сметки и пресметките засновани на бруто-националниот доход (БНД) се во процес на понатамошно усогласување, а царинските декларации и акцизните документи се целосно електронски обработени. Институционалната структура за обезбедување ефикасно функционирање на системот на сопствените ресурси сѐ уште не е воспоставена.</w:t>
      </w:r>
    </w:p>
    <w:p w14:paraId="74F0C9AA" w14:textId="7777777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Бидејќи не беа спроведени сите препораки од извештајот од минатата година, во наредната година земјата треба:</w:t>
      </w:r>
    </w:p>
    <w:p w14:paraId="54757EA9" w14:textId="77777777" w:rsidR="003D4454" w:rsidRPr="00C9671E" w:rsidRDefault="003D4454" w:rsidP="003D4454">
      <w:pPr>
        <w:numPr>
          <w:ilvl w:val="0"/>
          <w:numId w:val="61"/>
        </w:numPr>
        <w:pBdr>
          <w:top w:val="single" w:sz="4" w:space="1" w:color="auto"/>
          <w:left w:val="single" w:sz="4" w:space="4" w:color="auto"/>
          <w:bottom w:val="single" w:sz="4" w:space="1" w:color="auto"/>
          <w:right w:val="single" w:sz="4" w:space="4" w:color="auto"/>
        </w:pBdr>
        <w:shd w:val="clear" w:color="auto" w:fill="D9D9D9"/>
        <w:spacing w:after="120" w:line="240" w:lineRule="auto"/>
        <w:ind w:left="397" w:hanging="397"/>
        <w:jc w:val="both"/>
        <w:rPr>
          <w:rFonts w:ascii="Times New Roman" w:hAnsi="Times New Roman" w:cs="Times New Roman"/>
          <w:sz w:val="24"/>
          <w:szCs w:val="24"/>
        </w:rPr>
      </w:pPr>
      <w:r w:rsidRPr="00C9671E">
        <w:rPr>
          <w:rFonts w:ascii="Times New Roman" w:hAnsi="Times New Roman" w:cs="Times New Roman"/>
          <w:sz w:val="24"/>
          <w:szCs w:val="24"/>
        </w:rPr>
        <w:t>дополнително да ја усогласи правната основа за системот на сопствени ресурси;</w:t>
      </w:r>
    </w:p>
    <w:p w14:paraId="3A88F5A2" w14:textId="77777777" w:rsidR="003D4454" w:rsidRPr="00C9671E" w:rsidRDefault="003D4454" w:rsidP="003D4454">
      <w:pPr>
        <w:numPr>
          <w:ilvl w:val="0"/>
          <w:numId w:val="61"/>
        </w:numPr>
        <w:pBdr>
          <w:top w:val="single" w:sz="4" w:space="1" w:color="auto"/>
          <w:left w:val="single" w:sz="4" w:space="4" w:color="auto"/>
          <w:bottom w:val="single" w:sz="4" w:space="1" w:color="auto"/>
          <w:right w:val="single" w:sz="4" w:space="4" w:color="auto"/>
        </w:pBdr>
        <w:shd w:val="clear" w:color="auto" w:fill="D9D9D9"/>
        <w:spacing w:after="120" w:line="240" w:lineRule="auto"/>
        <w:ind w:left="397" w:hanging="397"/>
        <w:jc w:val="both"/>
        <w:rPr>
          <w:rFonts w:ascii="Times New Roman" w:hAnsi="Times New Roman" w:cs="Times New Roman"/>
          <w:sz w:val="24"/>
          <w:szCs w:val="24"/>
        </w:rPr>
      </w:pPr>
      <w:r w:rsidRPr="00C9671E">
        <w:rPr>
          <w:rFonts w:ascii="Times New Roman" w:hAnsi="Times New Roman" w:cs="Times New Roman"/>
          <w:sz w:val="24"/>
          <w:szCs w:val="24"/>
        </w:rPr>
        <w:t>да ги зајакне административните капацитети и механизмите за координација помеѓу клучните засегнати страни во системот.</w:t>
      </w:r>
    </w:p>
    <w:p w14:paraId="33441255" w14:textId="3C251595"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Постигнат е ограничен напредок во однос на специфичните административни услови за сопствени ресурси, како што е утврдено во регулативите за сопствени ресурси. Постигнат е одреден напредок во намалување на административниот товар на </w:t>
      </w:r>
      <w:r w:rsidRPr="00C9671E">
        <w:rPr>
          <w:rFonts w:ascii="Times New Roman" w:hAnsi="Times New Roman" w:cs="Times New Roman"/>
          <w:sz w:val="24"/>
          <w:szCs w:val="24"/>
        </w:rPr>
        <w:lastRenderedPageBreak/>
        <w:t>даночните обврзници и за постапката за поврат на</w:t>
      </w:r>
      <w:r w:rsidRPr="00705B41">
        <w:rPr>
          <w:rFonts w:ascii="Times New Roman" w:hAnsi="Times New Roman" w:cs="Times New Roman"/>
          <w:sz w:val="24"/>
          <w:szCs w:val="24"/>
        </w:rPr>
        <w:t xml:space="preserve"> </w:t>
      </w:r>
      <w:r w:rsidRPr="00C9671E">
        <w:rPr>
          <w:rFonts w:ascii="Times New Roman" w:hAnsi="Times New Roman" w:cs="Times New Roman"/>
          <w:sz w:val="24"/>
          <w:szCs w:val="24"/>
        </w:rPr>
        <w:t xml:space="preserve">ДДВ. Мерките за борба против и за намалување на затајување данок, измама и неформална економија, како и за подобрување на внатрешната контрола во јавниот сектор </w:t>
      </w:r>
      <w:r w:rsidRPr="0007383C">
        <w:rPr>
          <w:rFonts w:ascii="Times New Roman" w:hAnsi="Times New Roman" w:cs="Times New Roman"/>
          <w:sz w:val="24"/>
          <w:szCs w:val="24"/>
        </w:rPr>
        <w:t>сè уште не се применуваат ефикасно</w:t>
      </w:r>
      <w:r w:rsidRPr="00C9671E">
        <w:rPr>
          <w:rFonts w:ascii="Times New Roman" w:hAnsi="Times New Roman" w:cs="Times New Roman"/>
          <w:sz w:val="24"/>
          <w:szCs w:val="24"/>
        </w:rPr>
        <w:t xml:space="preserve">. Постигнат е напредок во порамнување на националните сметки и пресметките на </w:t>
      </w:r>
      <w:r>
        <w:rPr>
          <w:rFonts w:ascii="Times New Roman" w:hAnsi="Times New Roman" w:cs="Times New Roman"/>
          <w:sz w:val="24"/>
          <w:szCs w:val="24"/>
        </w:rPr>
        <w:t>БНД</w:t>
      </w:r>
      <w:r w:rsidRPr="00C9671E">
        <w:rPr>
          <w:rFonts w:ascii="Times New Roman" w:hAnsi="Times New Roman" w:cs="Times New Roman"/>
          <w:sz w:val="24"/>
          <w:szCs w:val="24"/>
        </w:rPr>
        <w:t>. Царинските декларации и документите за акциза во потполност се обработуваат електронски, а во извештајниот период постигнат е напредок со постојана консолидација, примена и надградба на ИТ-системите (</w:t>
      </w:r>
      <w:r w:rsidRPr="00C9671E">
        <w:rPr>
          <w:rFonts w:ascii="Times New Roman" w:hAnsi="Times New Roman" w:cs="Times New Roman"/>
          <w:i/>
          <w:sz w:val="24"/>
          <w:szCs w:val="24"/>
        </w:rPr>
        <w:t>за подетални информации погледнете ги развојните процеси во Поглавје 16 - Оданочување, Поглавје 18 - Статистика, Поглавје 29 - Царинска унија и Поглавје 32 - Финансиска контрола</w:t>
      </w:r>
      <w:r w:rsidRPr="00C9671E">
        <w:rPr>
          <w:rFonts w:ascii="Times New Roman" w:hAnsi="Times New Roman" w:cs="Times New Roman"/>
          <w:sz w:val="24"/>
          <w:szCs w:val="24"/>
        </w:rPr>
        <w:t>).</w:t>
      </w:r>
    </w:p>
    <w:p w14:paraId="55800F7C"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традиционалните сопствени ресурси</w:t>
      </w:r>
      <w:r w:rsidRPr="00C9671E">
        <w:rPr>
          <w:rFonts w:ascii="Times New Roman" w:hAnsi="Times New Roman" w:cs="Times New Roman"/>
          <w:sz w:val="24"/>
          <w:szCs w:val="24"/>
        </w:rPr>
        <w:t xml:space="preserve"> започна почетното градење капацитети за процесите за сметководство и за распределба на приходи во согласност со одредбите на ЕУ за А и Б сметките. Постигнат е напредок за градење на оперативните и административните капацитети на царинската управа за спроведување на националното законодавство и постапки, управување со сметководство и ИТ-услуги, како основа за воспоставување систем за традиционални сопствени средства. Дополнително беше унапреден концептот на овластени економски оператори (ОЕО). Направена е детална анализа на тековниот процес на царинската администрација за евидентирање царински долг и царински давачки во нејзиниот ИТ-систем. </w:t>
      </w:r>
    </w:p>
    <w:p w14:paraId="2CDEE243"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ДДВ</w:t>
      </w:r>
      <w:r w:rsidRPr="00C9671E">
        <w:rPr>
          <w:rFonts w:ascii="Times New Roman" w:hAnsi="Times New Roman" w:cs="Times New Roman"/>
          <w:sz w:val="24"/>
          <w:szCs w:val="24"/>
        </w:rPr>
        <w:t xml:space="preserve">, Стратегијата за реформа на даночниот систем за периодот 2021-2025 година продолжува да се спроведува. Дополнително, во 2022 година беше направен стратегиски акциски план за периодот 2022-2024 година. Неговото спроведување ќе се следи на квартално ниво од страна на формирана работна група (За повеќе информации видете </w:t>
      </w:r>
      <w:r w:rsidRPr="00C9671E">
        <w:rPr>
          <w:rFonts w:ascii="Times New Roman" w:hAnsi="Times New Roman" w:cs="Times New Roman"/>
          <w:i/>
          <w:sz w:val="24"/>
          <w:szCs w:val="24"/>
        </w:rPr>
        <w:t xml:space="preserve">во Поглавје 16 </w:t>
      </w:r>
      <w:r w:rsidRPr="00C9671E">
        <w:rPr>
          <w:rFonts w:ascii="Times New Roman" w:hAnsi="Times New Roman" w:cs="Times New Roman"/>
          <w:i/>
          <w:sz w:val="24"/>
          <w:szCs w:val="24"/>
          <w:cs/>
        </w:rPr>
        <w:t xml:space="preserve">– </w:t>
      </w:r>
      <w:r w:rsidRPr="00C9671E">
        <w:rPr>
          <w:rFonts w:ascii="Times New Roman" w:hAnsi="Times New Roman" w:cs="Times New Roman"/>
          <w:i/>
          <w:sz w:val="24"/>
          <w:szCs w:val="24"/>
        </w:rPr>
        <w:t>Оданочување</w:t>
      </w:r>
      <w:r w:rsidRPr="00C9671E">
        <w:rPr>
          <w:rFonts w:ascii="Times New Roman" w:hAnsi="Times New Roman" w:cs="Times New Roman"/>
          <w:sz w:val="24"/>
          <w:szCs w:val="24"/>
        </w:rPr>
        <w:t>).</w:t>
      </w:r>
    </w:p>
    <w:p w14:paraId="7D9AF27D" w14:textId="77777777" w:rsidR="003D4454" w:rsidRPr="00C9671E" w:rsidRDefault="003D4454" w:rsidP="006E4EB0">
      <w:pPr>
        <w:spacing w:after="120" w:line="240" w:lineRule="auto"/>
        <w:jc w:val="both"/>
        <w:rPr>
          <w:rFonts w:ascii="Times New Roman" w:hAnsi="Times New Roman" w:cs="Times New Roman"/>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sz w:val="24"/>
          <w:szCs w:val="24"/>
        </w:rPr>
        <w:t>административната инфраструктура</w:t>
      </w:r>
      <w:r w:rsidRPr="00C9671E">
        <w:rPr>
          <w:rFonts w:ascii="Times New Roman" w:hAnsi="Times New Roman" w:cs="Times New Roman"/>
          <w:sz w:val="24"/>
          <w:szCs w:val="24"/>
        </w:rPr>
        <w:t>, потребни се дополнителни напори со цел да се обезбеди навремено и ефикасно функционирање на процесот на пресметка, собирање, плаќање и контрола на сопствените ресурси, како и за подобрување на механизмите за известување и координацијата меѓу сите вклучени тела.</w:t>
      </w:r>
    </w:p>
    <w:p w14:paraId="3C55908F" w14:textId="77777777" w:rsidR="003D4454" w:rsidRPr="00C9671E" w:rsidRDefault="003D4454" w:rsidP="006E4EB0">
      <w:pPr>
        <w:pStyle w:val="Heading2"/>
        <w:rPr>
          <w:noProof/>
        </w:rPr>
      </w:pPr>
      <w:bookmarkStart w:id="302" w:name="_Toc84329809"/>
      <w:bookmarkStart w:id="303" w:name="_Toc84631611"/>
      <w:bookmarkStart w:id="304" w:name="_Toc115619821"/>
      <w:bookmarkStart w:id="305" w:name="_Toc117004192"/>
      <w:r w:rsidRPr="00C9671E">
        <w:t>Кластер 6: Надворешни односи</w:t>
      </w:r>
      <w:bookmarkEnd w:id="302"/>
      <w:bookmarkEnd w:id="303"/>
      <w:bookmarkEnd w:id="304"/>
      <w:bookmarkEnd w:id="305"/>
    </w:p>
    <w:p w14:paraId="39978E33" w14:textId="21CD8E51" w:rsidR="003D4454" w:rsidRPr="00C9671E" w:rsidRDefault="003D4454" w:rsidP="006E4EB0">
      <w:pPr>
        <w:autoSpaceDE w:val="0"/>
        <w:autoSpaceDN w:val="0"/>
        <w:adjustRightInd w:val="0"/>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Кластерот 6 опфаќа: Надворешни односи (поглавје 30) и Надворешна, безбедносна и одбранбена политика (поглавје 31). Северна Македонија е умерено подготвена во областа на надворешните односи и постигна добро ниво на подготовка во поглед на заедничката надворешна и безбедносна политика. Земјата постигна ограничен напредок во поглед на заедничката трговска политика за време на извештајниот период. Северна Македонија постигна многу добар напредок со тоа што оствари потполна усогласеност со заедничката надворешна и безбедносна политика на ЕУ по </w:t>
      </w:r>
      <w:r w:rsidRPr="00036E52">
        <w:rPr>
          <w:rFonts w:ascii="Times New Roman" w:hAnsi="Times New Roman" w:cs="Times New Roman"/>
          <w:sz w:val="24"/>
          <w:szCs w:val="24"/>
        </w:rPr>
        <w:t>инвазијата</w:t>
      </w:r>
      <w:r w:rsidRPr="00C9671E">
        <w:rPr>
          <w:rFonts w:ascii="Times New Roman" w:hAnsi="Times New Roman" w:cs="Times New Roman"/>
          <w:sz w:val="24"/>
          <w:szCs w:val="24"/>
        </w:rPr>
        <w:t xml:space="preserve"> на Русија врз Украина. На тој начин, Северна Македонија покажа дека може да биде сигурен партнер.</w:t>
      </w:r>
    </w:p>
    <w:p w14:paraId="0637029D" w14:textId="77777777" w:rsidR="003D4454" w:rsidRPr="00C9671E" w:rsidRDefault="003D4454" w:rsidP="006E4EB0">
      <w:pPr>
        <w:pStyle w:val="Heading3"/>
        <w:rPr>
          <w:noProof/>
        </w:rPr>
      </w:pPr>
      <w:bookmarkStart w:id="306" w:name="_Toc84329810"/>
      <w:bookmarkStart w:id="307" w:name="_Toc84631612"/>
      <w:bookmarkStart w:id="308" w:name="_Toc115619822"/>
      <w:bookmarkStart w:id="309" w:name="_Toc117004193"/>
      <w:r w:rsidRPr="00C9671E">
        <w:t>Поглавје 30: Надворешни односи</w:t>
      </w:r>
      <w:bookmarkEnd w:id="306"/>
      <w:bookmarkEnd w:id="307"/>
      <w:bookmarkEnd w:id="308"/>
      <w:bookmarkEnd w:id="309"/>
    </w:p>
    <w:p w14:paraId="076BEA79" w14:textId="77777777" w:rsidR="003D4454" w:rsidRPr="00C9671E" w:rsidRDefault="003D4454" w:rsidP="006E4EB0">
      <w:pPr>
        <w:autoSpaceDE w:val="0"/>
        <w:autoSpaceDN w:val="0"/>
        <w:adjustRightInd w:val="0"/>
        <w:spacing w:before="120" w:after="120" w:line="240" w:lineRule="auto"/>
        <w:jc w:val="both"/>
        <w:rPr>
          <w:rFonts w:ascii="Times New Roman" w:eastAsia="Times New Roman" w:hAnsi="Times New Roman" w:cs="Times New Roman"/>
          <w:i/>
          <w:noProof/>
          <w:sz w:val="24"/>
          <w:szCs w:val="24"/>
        </w:rPr>
      </w:pPr>
      <w:r w:rsidRPr="00C9671E">
        <w:rPr>
          <w:rFonts w:ascii="Times New Roman" w:hAnsi="Times New Roman" w:cs="Times New Roman"/>
          <w:i/>
          <w:sz w:val="24"/>
          <w:szCs w:val="24"/>
        </w:rPr>
        <w:t xml:space="preserve">ЕУ има заедничка трговија и трговска политика кон трети земји, заснована на мултилатерални и билатерални договори и автономни мерки. Исто така, постојат правила на ЕУ во областа на хуманитарната помош и развојната политика.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4454" w:rsidRPr="00C9671E" w14:paraId="1B3AC458" w14:textId="77777777" w:rsidTr="006E4EB0">
        <w:tc>
          <w:tcPr>
            <w:tcW w:w="9137" w:type="dxa"/>
            <w:tcBorders>
              <w:top w:val="single" w:sz="4" w:space="0" w:color="auto"/>
              <w:left w:val="single" w:sz="4" w:space="0" w:color="auto"/>
              <w:bottom w:val="single" w:sz="4" w:space="0" w:color="auto"/>
              <w:right w:val="single" w:sz="4" w:space="0" w:color="auto"/>
            </w:tcBorders>
            <w:shd w:val="clear" w:color="auto" w:fill="D9D9D9"/>
            <w:hideMark/>
          </w:tcPr>
          <w:p w14:paraId="520EE897" w14:textId="5D30F1AE"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Земјата е </w:t>
            </w:r>
            <w:r w:rsidRPr="00C9671E">
              <w:rPr>
                <w:rFonts w:ascii="Times New Roman" w:hAnsi="Times New Roman" w:cs="Times New Roman"/>
                <w:b/>
                <w:bCs/>
                <w:sz w:val="24"/>
                <w:szCs w:val="24"/>
              </w:rPr>
              <w:t>умерено подготвена</w:t>
            </w:r>
            <w:r w:rsidRPr="00C9671E">
              <w:rPr>
                <w:rFonts w:ascii="Times New Roman" w:hAnsi="Times New Roman" w:cs="Times New Roman"/>
                <w:sz w:val="24"/>
                <w:szCs w:val="24"/>
              </w:rPr>
              <w:t xml:space="preserve"> во областа на надворешните односи и постигна </w:t>
            </w:r>
            <w:r w:rsidRPr="00C9671E">
              <w:rPr>
                <w:rFonts w:ascii="Times New Roman" w:hAnsi="Times New Roman" w:cs="Times New Roman"/>
                <w:b/>
                <w:bCs/>
                <w:sz w:val="24"/>
                <w:szCs w:val="24"/>
              </w:rPr>
              <w:t>ограничен напредок</w:t>
            </w:r>
            <w:r w:rsidRPr="00C9671E">
              <w:rPr>
                <w:rFonts w:ascii="Times New Roman" w:hAnsi="Times New Roman" w:cs="Times New Roman"/>
                <w:sz w:val="24"/>
                <w:szCs w:val="24"/>
              </w:rPr>
              <w:t xml:space="preserve"> во текот на изминатата година. Северна Македонија ја продолжи добрата соработка со ЕУ, вклучително и во рамките на Светската трговска организација (СТО) и во спроведувањето на протоколите на ЦЕФТА. Сепак, Северна Македонија во текот на извештајниот период воведе рестрикции на извоз за одреден </w:t>
            </w:r>
            <w:r w:rsidRPr="00C9671E">
              <w:rPr>
                <w:rFonts w:ascii="Times New Roman" w:hAnsi="Times New Roman" w:cs="Times New Roman"/>
                <w:sz w:val="24"/>
                <w:szCs w:val="24"/>
              </w:rPr>
              <w:lastRenderedPageBreak/>
              <w:t xml:space="preserve">број на производи без да даде доволно оправдувања, ниту да ги следи процедурите утврдени во </w:t>
            </w:r>
            <w:r w:rsidRPr="0007488B">
              <w:rPr>
                <w:rFonts w:ascii="Times New Roman" w:hAnsi="Times New Roman" w:cs="Times New Roman"/>
                <w:sz w:val="24"/>
                <w:szCs w:val="24"/>
              </w:rPr>
              <w:t>ССА</w:t>
            </w:r>
            <w:r w:rsidRPr="00C9671E">
              <w:rPr>
                <w:rFonts w:ascii="Times New Roman" w:hAnsi="Times New Roman" w:cs="Times New Roman"/>
                <w:sz w:val="24"/>
                <w:szCs w:val="24"/>
              </w:rPr>
              <w:t xml:space="preserve">. Овие одлуки треба да се отповикаат, а  Северна Македонија треба да се воздржи од преземање унилатерални трговски мерки без оправдување и претходна консултација со Комисијата, во согласност со нејзините обврски </w:t>
            </w:r>
            <w:r w:rsidRPr="0007488B">
              <w:rPr>
                <w:rFonts w:ascii="Times New Roman" w:hAnsi="Times New Roman" w:cs="Times New Roman"/>
                <w:sz w:val="24"/>
                <w:szCs w:val="24"/>
              </w:rPr>
              <w:t>од ССА.</w:t>
            </w:r>
            <w:r w:rsidRPr="00C9671E">
              <w:rPr>
                <w:rFonts w:ascii="Times New Roman" w:hAnsi="Times New Roman" w:cs="Times New Roman"/>
                <w:sz w:val="24"/>
                <w:szCs w:val="24"/>
              </w:rPr>
              <w:t xml:space="preserve"> Институционалниот капацитет за целосно учество во трговските, развојните и во хуманитарните политики на ЕУ, не е доволен. Препораките од минатата година беа делумно спроведени.</w:t>
            </w:r>
          </w:p>
          <w:p w14:paraId="20FDD162" w14:textId="77777777"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Во наредната година, земјата особено треба:</w:t>
            </w:r>
          </w:p>
          <w:p w14:paraId="44565EFD" w14:textId="77777777" w:rsidR="003D4454" w:rsidRPr="00C9671E" w:rsidRDefault="003D4454" w:rsidP="003D4454">
            <w:pPr>
              <w:numPr>
                <w:ilvl w:val="0"/>
                <w:numId w:val="62"/>
              </w:num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да ги отстрани преостанатите неоправдани трговски рестрикции;</w:t>
            </w:r>
          </w:p>
          <w:p w14:paraId="4086E734" w14:textId="77777777" w:rsidR="003D4454" w:rsidRPr="00C9671E" w:rsidRDefault="003D4454" w:rsidP="003D4454">
            <w:pPr>
              <w:numPr>
                <w:ilvl w:val="0"/>
                <w:numId w:val="62"/>
              </w:num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да воспостави правна рамка којашто ја опфаќа политиката за меѓународна соработка и развој, како и хуманитарна помош кон земјите кои не се членки на ЕУ, во согласност со политиките и начелата на ЕУ;</w:t>
            </w:r>
          </w:p>
          <w:p w14:paraId="126080D2" w14:textId="77777777" w:rsidR="003D4454" w:rsidRPr="00C9671E" w:rsidRDefault="003D4454" w:rsidP="003D4454">
            <w:pPr>
              <w:numPr>
                <w:ilvl w:val="0"/>
                <w:numId w:val="62"/>
              </w:num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да продолжи со спроведување на Протокол 6 на ЦЕФТА за трговија со услуги и да го склучи и донесе Протоколот 7 на ЦЕФТА за решавање спорови.</w:t>
            </w:r>
          </w:p>
        </w:tc>
      </w:tr>
    </w:tbl>
    <w:p w14:paraId="388B2575" w14:textId="023A5A31" w:rsidR="003D4454" w:rsidRPr="00C9671E" w:rsidRDefault="003D4454" w:rsidP="006E4EB0">
      <w:pPr>
        <w:autoSpaceDE w:val="0"/>
        <w:autoSpaceDN w:val="0"/>
        <w:snapToGrid w:val="0"/>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lastRenderedPageBreak/>
        <w:t xml:space="preserve">Во однос на </w:t>
      </w:r>
      <w:r w:rsidRPr="00C9671E">
        <w:rPr>
          <w:rFonts w:ascii="Times New Roman" w:hAnsi="Times New Roman" w:cs="Times New Roman"/>
          <w:b/>
          <w:bCs/>
          <w:sz w:val="24"/>
          <w:szCs w:val="24"/>
        </w:rPr>
        <w:t>заедничката трговска политика</w:t>
      </w:r>
      <w:r w:rsidRPr="00C9671E">
        <w:rPr>
          <w:rFonts w:ascii="Times New Roman" w:hAnsi="Times New Roman" w:cs="Times New Roman"/>
          <w:sz w:val="24"/>
          <w:szCs w:val="24"/>
        </w:rPr>
        <w:t xml:space="preserve">, Северна Македонија продолжи да ги координира своите позиции и да ги усогласува своите политики во тесна поврзаност со оние на ЕУ, вклучително и во рамките на СТО, и ја поддржува реформата на СТО. Одредбите од Договорот за олеснување на трговијата се целосно применети и Националниот комитет за олеснување на трговијата се состана двапати во 2021 година. Немаше напредок во преговорите за пристапување кон Договорот на СТО за јавни набавки. Административниот капацитет на Министерството за економија, задолжено за трговската политика, треба дополнително да се зајакне. Во март 2022 година, Владата воведе квантитативни ограничувања со кои се забранува извоз на сончогледово масло, пченица, јачмен, пченка и пченично брашно, што ги оправда со критичниот недостиг на основни производи на домашниот пазар, имајќи ја предвид војната во Украина. Овие ограничувања беа укинати во мај 2022 година. Меѓутоа, во јули 2022 година, Северна Македонија повторно ги воведе рестрикциите за извоз на пченица, пченично брашно и семки од сончоглед и ги прошири овие рестрикции на одредени видови дрво. Во </w:t>
      </w:r>
      <w:r>
        <w:rPr>
          <w:rFonts w:ascii="Times New Roman" w:hAnsi="Times New Roman" w:cs="Times New Roman"/>
          <w:sz w:val="24"/>
          <w:szCs w:val="24"/>
        </w:rPr>
        <w:t>овие</w:t>
      </w:r>
      <w:r w:rsidRPr="00C9671E">
        <w:rPr>
          <w:rFonts w:ascii="Times New Roman" w:hAnsi="Times New Roman" w:cs="Times New Roman"/>
          <w:sz w:val="24"/>
          <w:szCs w:val="24"/>
        </w:rPr>
        <w:t xml:space="preserve"> случа</w:t>
      </w:r>
      <w:r>
        <w:rPr>
          <w:rFonts w:ascii="Times New Roman" w:hAnsi="Times New Roman" w:cs="Times New Roman"/>
          <w:sz w:val="24"/>
          <w:szCs w:val="24"/>
        </w:rPr>
        <w:t>и</w:t>
      </w:r>
      <w:r w:rsidRPr="00C9671E">
        <w:rPr>
          <w:rFonts w:ascii="Times New Roman" w:hAnsi="Times New Roman" w:cs="Times New Roman"/>
          <w:sz w:val="24"/>
          <w:szCs w:val="24"/>
        </w:rPr>
        <w:t xml:space="preserve">, не беа обезбедени доволни докази за недостиг, а Комисијата не била однапред известена или консултирана како што се бара </w:t>
      </w:r>
      <w:r w:rsidRPr="0007488B">
        <w:rPr>
          <w:rFonts w:ascii="Times New Roman" w:hAnsi="Times New Roman" w:cs="Times New Roman"/>
          <w:sz w:val="24"/>
          <w:szCs w:val="24"/>
        </w:rPr>
        <w:t>според ССА</w:t>
      </w:r>
      <w:r w:rsidRPr="00C9671E">
        <w:rPr>
          <w:rFonts w:ascii="Times New Roman" w:hAnsi="Times New Roman" w:cs="Times New Roman"/>
          <w:sz w:val="24"/>
          <w:szCs w:val="24"/>
        </w:rPr>
        <w:t xml:space="preserve">. Во октомври 2022 година, Владата одлучи да ги укине рестрикциите за извоз на пченица, пченично брашно и семки од сончоглед. Останатите рестрикции за извоз на одредени видови дрво треба да се тргнат без одложување, освен ако не се обезбеди соодветно оправдување. </w:t>
      </w:r>
    </w:p>
    <w:p w14:paraId="4D28C9E7" w14:textId="35FD4EDB" w:rsidR="003D4454" w:rsidRPr="00C9671E" w:rsidRDefault="003D4454" w:rsidP="006E4EB0">
      <w:pPr>
        <w:autoSpaceDE w:val="0"/>
        <w:autoSpaceDN w:val="0"/>
        <w:adjustRightInd w:val="0"/>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Северна Македонија продолжи активно да учествува во ЦЕФТА и претседаваше со нејзините активности во 2021 година. Земјата се обврза да го спроведе акцискиот план за развој на заеднички регионален пазар меѓу земјите од Западен Балкан. Во тек е спроведувањето на Дополнителниот протокол 6 за услуги. Земјата презема активна улога во спроведувањето на зелените коридори, обезбедувајќи непречен проток на основните стоки на клучните гранични премини со соседните земји. Изменетиот договор за слободна трговија помеѓу Северна Македонија и земјите членки на ЦЕФТА беше ратификуван во декември 2021 година, со кој се заменува протоколот за концептот на производи со потекло и методите на административна соработка.</w:t>
      </w:r>
    </w:p>
    <w:p w14:paraId="30D678F0" w14:textId="77777777" w:rsidR="003D4454" w:rsidRPr="00C9671E" w:rsidRDefault="003D4454" w:rsidP="006E4EB0">
      <w:pPr>
        <w:tabs>
          <w:tab w:val="left" w:pos="567"/>
        </w:tabs>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Системот за контрола на извозот на</w:t>
      </w:r>
      <w:r w:rsidRPr="00C9671E">
        <w:rPr>
          <w:rFonts w:ascii="Times New Roman" w:hAnsi="Times New Roman" w:cs="Times New Roman"/>
          <w:b/>
          <w:bCs/>
          <w:sz w:val="24"/>
          <w:szCs w:val="24"/>
        </w:rPr>
        <w:t xml:space="preserve"> стоки и технологии со двојна употреба</w:t>
      </w:r>
      <w:r w:rsidRPr="00C9671E">
        <w:rPr>
          <w:rFonts w:ascii="Times New Roman" w:hAnsi="Times New Roman" w:cs="Times New Roman"/>
          <w:sz w:val="24"/>
          <w:szCs w:val="24"/>
        </w:rPr>
        <w:t xml:space="preserve"> е во функција. Земјата ги подготви измените кон нејзиниот рамковен закон за контроли на извоз со двојна употреба, со цел тој да се усогласи со Регулативата 2021/821 на ЕУ за контрола на извоз, трансфер, посредување и транзит на стоки и технологии со двојна </w:t>
      </w:r>
      <w:r w:rsidRPr="00C9671E">
        <w:rPr>
          <w:rFonts w:ascii="Times New Roman" w:hAnsi="Times New Roman" w:cs="Times New Roman"/>
          <w:sz w:val="24"/>
          <w:szCs w:val="24"/>
        </w:rPr>
        <w:lastRenderedPageBreak/>
        <w:t>употреба. Редовно се извршуваат активности за информирање на индустријата за законските измени.</w:t>
      </w:r>
    </w:p>
    <w:p w14:paraId="2EEA56BF" w14:textId="77777777" w:rsidR="003D4454" w:rsidRPr="00C9671E" w:rsidRDefault="003D4454" w:rsidP="006E4EB0">
      <w:pPr>
        <w:autoSpaceDE w:val="0"/>
        <w:autoSpaceDN w:val="0"/>
        <w:adjustRightInd w:val="0"/>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Во сила се 39 </w:t>
      </w:r>
      <w:r w:rsidRPr="00C9671E">
        <w:rPr>
          <w:rFonts w:ascii="Times New Roman" w:hAnsi="Times New Roman" w:cs="Times New Roman"/>
          <w:b/>
          <w:bCs/>
          <w:sz w:val="24"/>
          <w:szCs w:val="24"/>
        </w:rPr>
        <w:t>билатерални договори со трети земји</w:t>
      </w:r>
      <w:r w:rsidRPr="00C9671E">
        <w:rPr>
          <w:rFonts w:ascii="Times New Roman" w:hAnsi="Times New Roman" w:cs="Times New Roman"/>
          <w:sz w:val="24"/>
          <w:szCs w:val="24"/>
        </w:rPr>
        <w:t xml:space="preserve"> (билатерални договори за инвестиции – БДИ), а 19 од нив се склучени со земји членки на ЕУ. Земјата работи на ажурирање на постојниот модел на билатерални договори за инвестиции. </w:t>
      </w:r>
    </w:p>
    <w:p w14:paraId="6F0EA2C5" w14:textId="77777777" w:rsidR="003D4454" w:rsidRPr="00C9671E" w:rsidRDefault="003D4454" w:rsidP="006E4EB0">
      <w:pPr>
        <w:autoSpaceDE w:val="0"/>
        <w:autoSpaceDN w:val="0"/>
        <w:adjustRightInd w:val="0"/>
        <w:spacing w:before="120" w:after="120" w:line="240" w:lineRule="auto"/>
        <w:jc w:val="both"/>
        <w:rPr>
          <w:rFonts w:ascii="Times New Roman" w:eastAsia="Times New Roman" w:hAnsi="Times New Roman" w:cs="Times New Roman"/>
          <w:bCs/>
          <w:noProof/>
          <w:sz w:val="24"/>
          <w:szCs w:val="24"/>
        </w:rPr>
      </w:pPr>
      <w:r w:rsidRPr="00C9671E">
        <w:rPr>
          <w:rFonts w:ascii="Times New Roman" w:hAnsi="Times New Roman" w:cs="Times New Roman"/>
          <w:sz w:val="24"/>
          <w:szCs w:val="24"/>
        </w:rPr>
        <w:t xml:space="preserve">Нема напредок во </w:t>
      </w:r>
      <w:r w:rsidRPr="00C9671E">
        <w:rPr>
          <w:rFonts w:ascii="Times New Roman" w:hAnsi="Times New Roman" w:cs="Times New Roman"/>
          <w:b/>
          <w:bCs/>
          <w:sz w:val="24"/>
          <w:szCs w:val="24"/>
        </w:rPr>
        <w:t>развојната политика</w:t>
      </w:r>
      <w:r w:rsidRPr="00C9671E">
        <w:rPr>
          <w:rFonts w:ascii="Times New Roman" w:hAnsi="Times New Roman" w:cs="Times New Roman"/>
          <w:sz w:val="24"/>
          <w:szCs w:val="24"/>
        </w:rPr>
        <w:t xml:space="preserve"> и </w:t>
      </w:r>
      <w:r w:rsidRPr="00C9671E">
        <w:rPr>
          <w:rFonts w:ascii="Times New Roman" w:hAnsi="Times New Roman" w:cs="Times New Roman"/>
          <w:b/>
          <w:bCs/>
          <w:sz w:val="24"/>
          <w:szCs w:val="24"/>
        </w:rPr>
        <w:t>хуманитарната помош</w:t>
      </w:r>
      <w:r w:rsidRPr="00C9671E">
        <w:rPr>
          <w:rFonts w:ascii="Times New Roman" w:hAnsi="Times New Roman" w:cs="Times New Roman"/>
          <w:sz w:val="24"/>
          <w:szCs w:val="24"/>
        </w:rPr>
        <w:t>. Земјата се охрабрува да воспостави политичка рамка во областите на развој и меѓународна соработка, како и хуманитарна помош кон земјите кои не се членки на ЕУ, во согласност со важечките политики и начела на ЕУ.</w:t>
      </w:r>
    </w:p>
    <w:p w14:paraId="1F87410D" w14:textId="77777777" w:rsidR="003D4454" w:rsidRPr="00C9671E" w:rsidRDefault="003D4454" w:rsidP="006E4EB0">
      <w:pPr>
        <w:pStyle w:val="Heading3"/>
        <w:rPr>
          <w:noProof/>
        </w:rPr>
      </w:pPr>
      <w:bookmarkStart w:id="310" w:name="_Toc9430378"/>
      <w:bookmarkStart w:id="311" w:name="_Toc51252800"/>
      <w:bookmarkStart w:id="312" w:name="_Toc84329811"/>
      <w:bookmarkStart w:id="313" w:name="_Toc84631613"/>
      <w:bookmarkStart w:id="314" w:name="_Toc115619823"/>
      <w:bookmarkStart w:id="315" w:name="_Toc117004194"/>
      <w:r w:rsidRPr="00C9671E">
        <w:t>Поглавје 31: Надворешна, безбедносна и одбранбена политика</w:t>
      </w:r>
      <w:bookmarkEnd w:id="310"/>
      <w:bookmarkEnd w:id="311"/>
      <w:bookmarkEnd w:id="312"/>
      <w:bookmarkEnd w:id="313"/>
      <w:bookmarkEnd w:id="314"/>
      <w:bookmarkEnd w:id="315"/>
    </w:p>
    <w:p w14:paraId="22D74F57" w14:textId="77777777" w:rsidR="003D4454" w:rsidRPr="00C9671E" w:rsidRDefault="003D4454" w:rsidP="006E4EB0">
      <w:pPr>
        <w:spacing w:before="120" w:after="120" w:line="240" w:lineRule="auto"/>
        <w:jc w:val="both"/>
        <w:rPr>
          <w:rFonts w:ascii="Times New Roman" w:hAnsi="Times New Roman" w:cs="Times New Roman"/>
          <w:i/>
          <w:noProof/>
          <w:sz w:val="24"/>
          <w:szCs w:val="24"/>
        </w:rPr>
      </w:pPr>
      <w:r w:rsidRPr="00C9671E">
        <w:rPr>
          <w:rFonts w:ascii="Times New Roman" w:hAnsi="Times New Roman" w:cs="Times New Roman"/>
          <w:i/>
          <w:sz w:val="24"/>
          <w:szCs w:val="24"/>
        </w:rPr>
        <w:t>Земјите членки мора да бидат способни да водат политички дијалози во рамките на надворешната, безбедносната и одбранбената политика, да ги почитуваат декларациите на ЕУ, да учествуваат во активностите на ЕУ и да ги применуваат договорените санкции и рестриктивни мерки.</w:t>
      </w:r>
    </w:p>
    <w:p w14:paraId="390B7840" w14:textId="51C6FCE7" w:rsidR="003D4454" w:rsidRPr="00C9671E" w:rsidRDefault="003D4454" w:rsidP="006E4EB0">
      <w:pPr>
        <w:pBdr>
          <w:top w:val="single" w:sz="4" w:space="1" w:color="auto"/>
          <w:left w:val="single" w:sz="4" w:space="4" w:color="auto"/>
          <w:bottom w:val="single" w:sz="4" w:space="1" w:color="auto"/>
          <w:right w:val="single" w:sz="4" w:space="4" w:color="auto"/>
        </w:pBdr>
        <w:shd w:val="clear" w:color="auto" w:fill="D9D9D9"/>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Северна Македонија постигна </w:t>
      </w:r>
      <w:r w:rsidRPr="00C9671E">
        <w:rPr>
          <w:rFonts w:ascii="Times New Roman" w:hAnsi="Times New Roman" w:cs="Times New Roman"/>
          <w:b/>
          <w:bCs/>
          <w:sz w:val="24"/>
          <w:szCs w:val="24"/>
        </w:rPr>
        <w:t>добро ниво на подготовка</w:t>
      </w:r>
      <w:r w:rsidRPr="00C9671E">
        <w:rPr>
          <w:rFonts w:ascii="Times New Roman" w:hAnsi="Times New Roman" w:cs="Times New Roman"/>
          <w:sz w:val="24"/>
          <w:szCs w:val="24"/>
        </w:rPr>
        <w:t xml:space="preserve"> во областа на заедничката надворешна, безбедносна и одбранбена политика. Во извештајниот период е постигнат </w:t>
      </w:r>
      <w:r w:rsidRPr="00C9671E">
        <w:rPr>
          <w:rFonts w:ascii="Times New Roman" w:hAnsi="Times New Roman" w:cs="Times New Roman"/>
          <w:b/>
          <w:bCs/>
          <w:sz w:val="24"/>
          <w:szCs w:val="24"/>
        </w:rPr>
        <w:t>многу добар напредок</w:t>
      </w:r>
      <w:r w:rsidRPr="00C9671E">
        <w:rPr>
          <w:rFonts w:ascii="Times New Roman" w:hAnsi="Times New Roman" w:cs="Times New Roman"/>
          <w:sz w:val="24"/>
          <w:szCs w:val="24"/>
        </w:rPr>
        <w:t xml:space="preserve">, со тоа што земјата оствари целосна усогласеност со заедничката надворешна и безбедносна политика на ЕУ по </w:t>
      </w:r>
      <w:r w:rsidRPr="00036E52">
        <w:rPr>
          <w:rFonts w:ascii="Times New Roman" w:hAnsi="Times New Roman" w:cs="Times New Roman"/>
          <w:sz w:val="24"/>
          <w:szCs w:val="24"/>
        </w:rPr>
        <w:t>инвазијата</w:t>
      </w:r>
      <w:r w:rsidRPr="00C9671E">
        <w:rPr>
          <w:rFonts w:ascii="Times New Roman" w:hAnsi="Times New Roman" w:cs="Times New Roman"/>
          <w:sz w:val="24"/>
          <w:szCs w:val="24"/>
        </w:rPr>
        <w:t xml:space="preserve"> на Русија врз Украина. Беше засилено учеството во мисии и операции на ЕУ за управување со кризи. Во наредната година, земјата особено треба:</w:t>
      </w:r>
    </w:p>
    <w:p w14:paraId="0810F935" w14:textId="77777777" w:rsidR="003D4454" w:rsidRPr="00C9671E" w:rsidRDefault="003D4454" w:rsidP="003D4454">
      <w:pPr>
        <w:numPr>
          <w:ilvl w:val="0"/>
          <w:numId w:val="63"/>
        </w:numPr>
        <w:pBdr>
          <w:top w:val="single" w:sz="4" w:space="1" w:color="auto"/>
          <w:left w:val="single" w:sz="4" w:space="4" w:color="auto"/>
          <w:bottom w:val="single" w:sz="4" w:space="1" w:color="auto"/>
          <w:right w:val="single" w:sz="4" w:space="4" w:color="auto"/>
        </w:pBdr>
        <w:shd w:val="clear" w:color="auto" w:fill="D9D9D9"/>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да одржува целосна усогласеност со заедничката надворешна и безбедносна политика на ЕУ.</w:t>
      </w:r>
    </w:p>
    <w:p w14:paraId="0E352473" w14:textId="59E0FF7C"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Продолжи редовниот </w:t>
      </w:r>
      <w:r w:rsidRPr="00C9671E">
        <w:rPr>
          <w:rFonts w:ascii="Times New Roman" w:hAnsi="Times New Roman" w:cs="Times New Roman"/>
          <w:b/>
          <w:bCs/>
          <w:sz w:val="24"/>
          <w:szCs w:val="24"/>
        </w:rPr>
        <w:t>политички дијалог</w:t>
      </w:r>
      <w:r w:rsidRPr="00C9671E">
        <w:rPr>
          <w:rFonts w:ascii="Times New Roman" w:hAnsi="Times New Roman" w:cs="Times New Roman"/>
          <w:sz w:val="24"/>
          <w:szCs w:val="24"/>
        </w:rPr>
        <w:t xml:space="preserve"> за прашањата од областа на надворешната и безбедносната политика помеѓу ЕУ и земјата, вклучително и преку активно ангажирање на Северна Македонија во неформалниот дијалог за Заедничката надворешна и безбедносна политика (ЗНБП) на Европската Унија за Западен Балкан на ниво на политички директори. Воспоставена е институционалната рамка којашто овозможува учество на земјата во заедничката надворешна и безбедносна политика и, соодветно, во заедничката безбедносна и одбранбена политика.</w:t>
      </w:r>
    </w:p>
    <w:p w14:paraId="27C3FA1D" w14:textId="576A02D5"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заедничката надворешна и безбедносна политика (ЗНБП)</w:t>
      </w:r>
      <w:r w:rsidRPr="00C9671E">
        <w:rPr>
          <w:rFonts w:ascii="Times New Roman" w:hAnsi="Times New Roman" w:cs="Times New Roman"/>
          <w:sz w:val="24"/>
          <w:szCs w:val="24"/>
        </w:rPr>
        <w:t xml:space="preserve">, стапката на усогласеност на земјата со соодветните изјави на Високиот претставник на ЕУ и Одлуките на Советот, достигна 100% во февруари 2022 година (во споредба со 96% во 2021 година). Ова јасно ја потврдува стратегиската ориентираност на земјата кон ЕУ. По инвазијата на Русија врз Украина, земјата веднаш и во целост се усогласи со рестриктивните мерки на ЕУ за Русија и Белорусија, вклучително и отворените санкции коишто беа наметнати по незаконското </w:t>
      </w:r>
      <w:r>
        <w:rPr>
          <w:rFonts w:ascii="Times New Roman" w:hAnsi="Times New Roman" w:cs="Times New Roman"/>
          <w:sz w:val="24"/>
          <w:szCs w:val="24"/>
        </w:rPr>
        <w:t>анексирање</w:t>
      </w:r>
      <w:r w:rsidRPr="00C9671E">
        <w:rPr>
          <w:rFonts w:ascii="Times New Roman" w:hAnsi="Times New Roman" w:cs="Times New Roman"/>
          <w:sz w:val="24"/>
          <w:szCs w:val="24"/>
        </w:rPr>
        <w:t xml:space="preserve"> на Крим. Владата продолжува да ги спроведува рестриктивните мерки на ЕУ. Северна Македонија протера единаесет руски дипломати и во најмалку два наврати одби дозвола за прелетување на руски владини авиони. Северна Македонија, исто така, се усогласи со сите изјави на ЕУ поднесени во меѓународните организации (ОН, ОБСЕ и Советот на Европа), вклучително и ставот на ЕУ во Генералното собрание на ОН, кога гласаше за резолуциите во врска со агресијата на Русија врз Украина и нејзиното хуманитарно влијание. Северна Македонија гласаше за суспендирање на Руската Федерација од Советот за човекови права на ОН.</w:t>
      </w:r>
    </w:p>
    <w:p w14:paraId="245EF611" w14:textId="18FB7A0D"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Северна Македонија и натаму го одржува билатералниот договор за имунитет со САД, со кој на американските државјани им се овозможува изземање од јурисдикцијата на </w:t>
      </w:r>
      <w:r w:rsidRPr="00C9671E">
        <w:rPr>
          <w:rFonts w:ascii="Times New Roman" w:hAnsi="Times New Roman" w:cs="Times New Roman"/>
          <w:b/>
          <w:bCs/>
          <w:sz w:val="24"/>
          <w:szCs w:val="24"/>
        </w:rPr>
        <w:t>Меѓународниот кривичен суд</w:t>
      </w:r>
      <w:r w:rsidRPr="00C9671E">
        <w:rPr>
          <w:rFonts w:ascii="Times New Roman" w:hAnsi="Times New Roman" w:cs="Times New Roman"/>
          <w:sz w:val="24"/>
          <w:szCs w:val="24"/>
        </w:rPr>
        <w:t xml:space="preserve">. Со тоа, земјата не ги почитува заедничките ставови на </w:t>
      </w:r>
      <w:r w:rsidRPr="00C9671E">
        <w:rPr>
          <w:rFonts w:ascii="Times New Roman" w:hAnsi="Times New Roman" w:cs="Times New Roman"/>
          <w:sz w:val="24"/>
          <w:szCs w:val="24"/>
        </w:rPr>
        <w:lastRenderedPageBreak/>
        <w:t>ЕУ за интегритетот на Римскиот статут или поврзаните водечки начела на ЕУ за билатералните договори за имунитет. Затоа е потребно усогласување со ставот на ЕУ.</w:t>
      </w:r>
    </w:p>
    <w:p w14:paraId="6A12A13F" w14:textId="6A053D62"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спречување конфликти</w:t>
      </w:r>
      <w:r w:rsidRPr="00C9671E">
        <w:rPr>
          <w:rFonts w:ascii="Times New Roman" w:hAnsi="Times New Roman" w:cs="Times New Roman"/>
          <w:sz w:val="24"/>
          <w:szCs w:val="24"/>
        </w:rPr>
        <w:t xml:space="preserve">, Северна Македонија продолжи со спроведување на Регионалниот патоказ за 2018 година за одржливо решение за нелегално поседување, злоупотреба и трговија со мало и лесно оружје и негова муниција во Западен Балкан. </w:t>
      </w:r>
    </w:p>
    <w:p w14:paraId="67C0DB21" w14:textId="4A6BE661"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Во однос на </w:t>
      </w:r>
      <w:r w:rsidRPr="00C9671E">
        <w:rPr>
          <w:rFonts w:ascii="Times New Roman" w:hAnsi="Times New Roman" w:cs="Times New Roman"/>
          <w:b/>
          <w:bCs/>
          <w:sz w:val="24"/>
          <w:szCs w:val="24"/>
        </w:rPr>
        <w:t>забраната за пролиферација</w:t>
      </w:r>
      <w:r w:rsidRPr="00C9671E">
        <w:rPr>
          <w:rFonts w:ascii="Times New Roman" w:hAnsi="Times New Roman" w:cs="Times New Roman"/>
          <w:sz w:val="24"/>
          <w:szCs w:val="24"/>
        </w:rPr>
        <w:t>, Северна Македонија учествува во некои, но не во сите меѓународни договори за контрола на извоз и инструменти за забрана на пролиферација. Земјата учествува во Иницијативата за безбедност од пролиферација и Хашкиот кодекс на однесување. Земјата е посветена да ги исполни барањата за да се приклучи на Васенарскиот договор. Земјата претседаваше со Мултинационалната советодавна група на Центарот за безбедносна соработка (</w:t>
      </w:r>
      <w:r w:rsidRPr="00131338">
        <w:rPr>
          <w:rFonts w:ascii="Times New Roman" w:hAnsi="Times New Roman" w:cs="Times New Roman"/>
          <w:noProof/>
          <w:sz w:val="24"/>
          <w:szCs w:val="24"/>
        </w:rPr>
        <w:t>RACVIAC</w:t>
      </w:r>
      <w:r w:rsidRPr="00C9671E">
        <w:rPr>
          <w:rFonts w:ascii="Times New Roman" w:hAnsi="Times New Roman" w:cs="Times New Roman"/>
          <w:sz w:val="24"/>
          <w:szCs w:val="24"/>
        </w:rPr>
        <w:t>) до октомври 2021 година.</w:t>
      </w:r>
    </w:p>
    <w:p w14:paraId="6CA37ABF" w14:textId="501E778E"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Северна Македонија продолжи активно да соработува со </w:t>
      </w:r>
      <w:r w:rsidRPr="00C9671E">
        <w:rPr>
          <w:rFonts w:ascii="Times New Roman" w:hAnsi="Times New Roman" w:cs="Times New Roman"/>
          <w:b/>
          <w:bCs/>
          <w:sz w:val="24"/>
          <w:szCs w:val="24"/>
        </w:rPr>
        <w:t>меѓународните организации</w:t>
      </w:r>
      <w:r w:rsidRPr="00C9671E">
        <w:rPr>
          <w:rFonts w:ascii="Times New Roman" w:hAnsi="Times New Roman" w:cs="Times New Roman"/>
          <w:sz w:val="24"/>
          <w:szCs w:val="24"/>
        </w:rPr>
        <w:t xml:space="preserve">, истовремено приклучувајќи се кон ЕУ во поддршката на одлуката за суспендирање, а подоцна и исфрлање на Русија од Советот на Европа. Како претседавач со ОБСЕ во 2023 година, Северна Македонија им се придружи на Полска и Шведска во Триото на ОБСЕ од јануари 2022 година и го презеде претседавањето со Групата на медитерански партнери за соработка на ОБСЕ. </w:t>
      </w:r>
    </w:p>
    <w:p w14:paraId="56A8D198" w14:textId="77777777"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Во однос на</w:t>
      </w:r>
      <w:r w:rsidRPr="00C9671E">
        <w:rPr>
          <w:rFonts w:ascii="Times New Roman" w:hAnsi="Times New Roman" w:cs="Times New Roman"/>
          <w:b/>
          <w:bCs/>
          <w:sz w:val="24"/>
          <w:szCs w:val="24"/>
        </w:rPr>
        <w:t xml:space="preserve"> безбедносните мерки</w:t>
      </w:r>
      <w:r w:rsidRPr="00C9671E">
        <w:rPr>
          <w:rFonts w:ascii="Times New Roman" w:hAnsi="Times New Roman" w:cs="Times New Roman"/>
          <w:sz w:val="24"/>
          <w:szCs w:val="24"/>
        </w:rPr>
        <w:t>, во сила е Законот за класифицирани информации, врз основа на Одлуката на Советот од 2013 година. Во 2019 година, беа донесени подзаконски акти за регулирање на инспекцискиот надзор на работењето со класифицирани информации, додека, пак, оние за личната безбедност беа донесени во јули 2022 година. Во 2021 година, беа потпишани договори за размена и заемна заштита на класифицирани информации со Грција и со САД, и за нив се преговара со Белгија, Португалија и со Норвешка.</w:t>
      </w:r>
    </w:p>
    <w:p w14:paraId="257D96C0" w14:textId="3640D27F" w:rsidR="003D4454" w:rsidRPr="00C9671E" w:rsidRDefault="003D4454" w:rsidP="006E4EB0">
      <w:pPr>
        <w:spacing w:before="120" w:after="120" w:line="240" w:lineRule="auto"/>
        <w:jc w:val="both"/>
        <w:rPr>
          <w:rFonts w:ascii="Times New Roman" w:eastAsia="Times New Roman" w:hAnsi="Times New Roman" w:cs="Times New Roman"/>
          <w:noProof/>
          <w:sz w:val="24"/>
          <w:szCs w:val="24"/>
        </w:rPr>
      </w:pPr>
      <w:r w:rsidRPr="00C9671E">
        <w:rPr>
          <w:rFonts w:ascii="Times New Roman" w:hAnsi="Times New Roman" w:cs="Times New Roman"/>
          <w:sz w:val="24"/>
          <w:szCs w:val="24"/>
        </w:rPr>
        <w:t xml:space="preserve">Земјата продолжи активно да учествува во операциите на ЕУ за управување со кризи во рамките на </w:t>
      </w:r>
      <w:r w:rsidRPr="00C9671E">
        <w:rPr>
          <w:rFonts w:ascii="Times New Roman" w:hAnsi="Times New Roman" w:cs="Times New Roman"/>
          <w:b/>
          <w:bCs/>
          <w:sz w:val="24"/>
          <w:szCs w:val="24"/>
        </w:rPr>
        <w:t>заедничката безбедносна и одбранбена политика (ЗБОП)</w:t>
      </w:r>
      <w:r w:rsidRPr="00C9671E">
        <w:rPr>
          <w:rFonts w:ascii="Times New Roman" w:hAnsi="Times New Roman" w:cs="Times New Roman"/>
          <w:sz w:val="24"/>
          <w:szCs w:val="24"/>
        </w:rPr>
        <w:t>, особено ЕУФОР АЛТЕА во Босна и Херцеговина. Северна Македонија учествува во мисијата за воена обука во Централноафриканската Република (ЕУТМ РЦА). Во февруари 2022 година, Северна Македонија ја потпиша Пристапната нота кон Техничкиот договор за формирање мултинационална борбена група на ЕУ со Грција како рамковна нација и учество на Бугарија, Кипар и на Романија (ХЕЛБРОЦ БГ).</w:t>
      </w:r>
    </w:p>
    <w:p w14:paraId="5E0D181E" w14:textId="3421AB0D"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Северна Македонија учествуваше во голем број мисии предводени од НАТО, вклучувајќи го и „КФОР“ </w:t>
      </w:r>
      <w:r>
        <w:rPr>
          <w:rFonts w:ascii="Times New Roman" w:hAnsi="Times New Roman" w:cs="Times New Roman"/>
          <w:sz w:val="24"/>
          <w:szCs w:val="24"/>
        </w:rPr>
        <w:t>во</w:t>
      </w:r>
      <w:r w:rsidRPr="00C9671E">
        <w:rPr>
          <w:rFonts w:ascii="Times New Roman" w:hAnsi="Times New Roman" w:cs="Times New Roman"/>
          <w:sz w:val="24"/>
          <w:szCs w:val="24"/>
        </w:rPr>
        <w:t xml:space="preserve"> Косово. Во мај 2022 година, Северна Македонија беше домаќин на вежбата „Брза реакција 22“ на НАТО, во која учествуваа 4.500 припадници на армиите од осум сојузни земји. Земјата продолжува да учествува во операцијата на Привремените сили на Обединетите нации во Либан (УНИФИЛ).</w:t>
      </w:r>
    </w:p>
    <w:p w14:paraId="376324F8" w14:textId="0715134C"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Северна Македонија го заврши истражувањето на ЕУ за хибридни ризици, со цел да се идентификуваат системските ранливости и да се обезбеди помош од ЕУ во оваа област. Врз основа на препораките од истражувањето за хибридни ризици, во декември 2021 година, Владата ја донесе Националната стратегија за градење отпорност и </w:t>
      </w:r>
      <w:r>
        <w:rPr>
          <w:rFonts w:ascii="Times New Roman" w:hAnsi="Times New Roman" w:cs="Times New Roman"/>
          <w:sz w:val="24"/>
          <w:szCs w:val="24"/>
        </w:rPr>
        <w:t>справување</w:t>
      </w:r>
      <w:r w:rsidRPr="00C9671E">
        <w:rPr>
          <w:rFonts w:ascii="Times New Roman" w:hAnsi="Times New Roman" w:cs="Times New Roman"/>
          <w:sz w:val="24"/>
          <w:szCs w:val="24"/>
        </w:rPr>
        <w:t xml:space="preserve"> со </w:t>
      </w:r>
      <w:r w:rsidRPr="00C9671E">
        <w:rPr>
          <w:rFonts w:ascii="Times New Roman" w:hAnsi="Times New Roman" w:cs="Times New Roman"/>
          <w:b/>
          <w:bCs/>
          <w:sz w:val="24"/>
          <w:szCs w:val="24"/>
        </w:rPr>
        <w:t>хибридни закани</w:t>
      </w:r>
      <w:r w:rsidRPr="00C9671E">
        <w:rPr>
          <w:rFonts w:ascii="Times New Roman" w:hAnsi="Times New Roman" w:cs="Times New Roman"/>
          <w:sz w:val="24"/>
          <w:szCs w:val="24"/>
        </w:rPr>
        <w:t xml:space="preserve"> за периодот (2021-2025 година) заедно со Акцискиот план. </w:t>
      </w:r>
    </w:p>
    <w:p w14:paraId="718E1169" w14:textId="4E91EE80" w:rsidR="003D4454" w:rsidRPr="00C9671E" w:rsidRDefault="003D4454" w:rsidP="006E4EB0">
      <w:pPr>
        <w:spacing w:before="120" w:after="120" w:line="240" w:lineRule="auto"/>
        <w:rPr>
          <w:rFonts w:ascii="Times New Roman" w:hAnsi="Times New Roman" w:cs="Times New Roman"/>
          <w:b/>
          <w:smallCaps/>
          <w:noProof/>
          <w:sz w:val="24"/>
          <w:szCs w:val="24"/>
        </w:rPr>
      </w:pPr>
      <w:bookmarkStart w:id="316" w:name="_Toc84631614"/>
      <w:bookmarkStart w:id="317" w:name="_Toc84329812"/>
      <w:r w:rsidRPr="00C9671E">
        <w:rPr>
          <w:rFonts w:ascii="Times New Roman" w:hAnsi="Times New Roman" w:cs="Times New Roman"/>
          <w:sz w:val="24"/>
          <w:szCs w:val="24"/>
        </w:rPr>
        <w:br w:type="page"/>
      </w:r>
      <w:r w:rsidRPr="00C9671E">
        <w:rPr>
          <w:rFonts w:ascii="Times New Roman" w:hAnsi="Times New Roman" w:cs="Times New Roman"/>
          <w:b/>
          <w:smallCaps/>
          <w:sz w:val="24"/>
          <w:szCs w:val="24"/>
        </w:rPr>
        <w:lastRenderedPageBreak/>
        <w:t xml:space="preserve">Анекс I – Односи помеѓу ЕУ и </w:t>
      </w:r>
      <w:bookmarkEnd w:id="316"/>
      <w:bookmarkEnd w:id="317"/>
      <w:r w:rsidRPr="00C9671E">
        <w:rPr>
          <w:rFonts w:ascii="Times New Roman" w:hAnsi="Times New Roman" w:cs="Times New Roman"/>
          <w:b/>
          <w:smallCaps/>
          <w:sz w:val="24"/>
          <w:szCs w:val="24"/>
        </w:rPr>
        <w:t>Северна Македонија</w:t>
      </w:r>
    </w:p>
    <w:p w14:paraId="723EE8BF" w14:textId="4F777E90"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Северна Македонија учествува во процесот на </w:t>
      </w:r>
      <w:r w:rsidRPr="00C9671E">
        <w:rPr>
          <w:rFonts w:ascii="Times New Roman" w:hAnsi="Times New Roman" w:cs="Times New Roman"/>
          <w:b/>
          <w:bCs/>
          <w:sz w:val="24"/>
          <w:szCs w:val="24"/>
        </w:rPr>
        <w:t>стабилизација и асоцијација</w:t>
      </w:r>
      <w:r w:rsidRPr="00C9671E">
        <w:rPr>
          <w:rFonts w:ascii="Times New Roman" w:hAnsi="Times New Roman" w:cs="Times New Roman"/>
          <w:sz w:val="24"/>
          <w:szCs w:val="24"/>
        </w:rPr>
        <w:t xml:space="preserve"> од 1999 година. Спогодбата за стабилизација и асоцијација (ССА) со ЕУ, потпишана во 2001 година, ја поставува рамката за односите со ЕУ, вклучително и политичкиот, економскиот и техничкиот дијалог. Експертите се состанаа во седум поткомитети и една посебна група, во согласност со распоредот. </w:t>
      </w:r>
    </w:p>
    <w:p w14:paraId="7273CE1C" w14:textId="33A937DB"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Северна Македонија е земја кандидат од 2005 година, со последователни препораки од Европската комисија за отворање на пристапните преговори од 2009 година. На 26 март 2020 година, Европскиот совет ја одобри одлуката на Советот за отворање на пристапните преговори со Северна Македонија. Првата меѓувладина конференција се одржа на 19 јули 2022 година, по одобрувањето на преговарачката рамка од страна на Советот. Комисијата веднаш започна со спроведувањето на скринингот.</w:t>
      </w:r>
    </w:p>
    <w:p w14:paraId="5FB70992" w14:textId="46F9FAD5"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b/>
          <w:bCs/>
          <w:sz w:val="24"/>
          <w:szCs w:val="24"/>
        </w:rPr>
        <w:t>Визната либерализација</w:t>
      </w:r>
      <w:r w:rsidRPr="00C9671E">
        <w:rPr>
          <w:rFonts w:ascii="Times New Roman" w:hAnsi="Times New Roman" w:cs="Times New Roman"/>
          <w:sz w:val="24"/>
          <w:szCs w:val="24"/>
        </w:rPr>
        <w:t xml:space="preserve"> за граѓаните на Северна Македонија коишто патуваат во зоната на Шенген е во сила од декември 2009 година. Договорот за реадмисија е во сила од 2008 година. Во четвртиот извештај на Комисијата од август 2020 година, во согласност со механизмот за суспендирање на визниот режим, се заклучи дека Северна Македонија продолжува да ги исполнува одредниците за визната либерализација.</w:t>
      </w:r>
    </w:p>
    <w:p w14:paraId="0BF71A8E" w14:textId="6D9C0EF2"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Во текот на извештајниот период,Северна Македонија постигна 100% усогласеност со ставовите и декларациите на </w:t>
      </w:r>
      <w:r w:rsidRPr="00C9671E">
        <w:rPr>
          <w:rFonts w:ascii="Times New Roman" w:hAnsi="Times New Roman" w:cs="Times New Roman"/>
          <w:b/>
          <w:bCs/>
          <w:sz w:val="24"/>
          <w:szCs w:val="24"/>
        </w:rPr>
        <w:t>заедничката надворешна и безбедносна политика на ЕУ</w:t>
      </w:r>
      <w:r w:rsidRPr="00C9671E">
        <w:rPr>
          <w:rFonts w:ascii="Times New Roman" w:hAnsi="Times New Roman" w:cs="Times New Roman"/>
          <w:sz w:val="24"/>
          <w:szCs w:val="24"/>
        </w:rPr>
        <w:t>. Северна Македонија продолжи активно да учествува во мисиите и операциите на ЕУ за управување со кризи во рамките на заедничката безбедносна и одбранбена политика.</w:t>
      </w:r>
    </w:p>
    <w:p w14:paraId="21C27E5F" w14:textId="16F63E3F" w:rsidR="003D4454" w:rsidRPr="00C9671E" w:rsidRDefault="003D4454" w:rsidP="006E4EB0">
      <w:pPr>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Според Инструментот за претпристапна помош за периодот 2021 – 2027 година (</w:t>
      </w:r>
      <w:r w:rsidRPr="00C9671E">
        <w:rPr>
          <w:rFonts w:ascii="Times New Roman" w:hAnsi="Times New Roman" w:cs="Times New Roman"/>
          <w:noProof/>
          <w:sz w:val="24"/>
          <w:szCs w:val="24"/>
          <w:vertAlign w:val="superscript"/>
        </w:rPr>
        <w:footnoteReference w:id="20"/>
      </w:r>
      <w:r w:rsidRPr="00C9671E">
        <w:rPr>
          <w:rFonts w:ascii="Times New Roman" w:hAnsi="Times New Roman" w:cs="Times New Roman"/>
          <w:sz w:val="24"/>
          <w:szCs w:val="24"/>
        </w:rPr>
        <w:t xml:space="preserve">) (ИПА III), на крајот од 2021 година беше усвоена првата одлука за финансирање од 90,45 милиони евра, со која се обезбедува поддршка за пристапувањето во ЕУ и закрепнувањето по кризата со КОВИД-19, како и за подобрување на реформите во земјата во областа на владеењето на правото, борбата против корупцијата и организираниот криминал, заштитата на животната средина, одржливиот економски развој и олеснувањето на трговијата со ЕУ. Оваа прва група програми, надополнета со значителен пакет програми за повеќе земји и со Програмата за рурален развој ИПАРД III, обезбедуваат значаен придонес за отпочнување со спроведувањето на Економскиот и инвестицискиот план за Западен Балкан и Зелената агенда. Северна Македонија учествува и во програми за прекугранична соработка, програми за транснационална соработка и програми на Унијата. </w:t>
      </w:r>
    </w:p>
    <w:p w14:paraId="3D76D29C" w14:textId="7FBEB2C0" w:rsidR="003D4454" w:rsidRPr="00C9671E" w:rsidRDefault="003D4454" w:rsidP="006E4EB0">
      <w:pPr>
        <w:autoSpaceDE w:val="0"/>
        <w:autoSpaceDN w:val="0"/>
        <w:adjustRightInd w:val="0"/>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t xml:space="preserve">Новите активности ќе се надградат и ќе се додадат на тековните програми во рамките на ИПА II за периодот (2014-2020 година), што сè уште обезбедуваат значителна поддршка за социјалниот и економскиот развој на земјата и придонесуваат за клучните реформи. Во основа, тековната помош на ЕУ ја унапреди дигиталната трансформација на земјата, воспоставувајќи ги првите 70 речиси целосно автоматизирани јавни е-услуги за граѓаните и бизнисите, и продолжува да ги поддржува реформите во областите на владеење на правото, јавната администрација и јавните финансии. Покрај тоа, граѓанското општество и приватниот сектор имаат корист од важната поддршка на ЕУ што обезбедува можности за раст и развој во поволна средина. На Северна Македонија ѝ е доделена значајна финансиска помош од ЕУ за заштита на животната средина и зајакнување на поврзаноста со транспортните системи на ЕУ. </w:t>
      </w:r>
    </w:p>
    <w:p w14:paraId="127A8B2F" w14:textId="51DC74F9" w:rsidR="003D4454" w:rsidRPr="00C9671E" w:rsidRDefault="003D4454" w:rsidP="006E4EB0">
      <w:pPr>
        <w:autoSpaceDE w:val="0"/>
        <w:autoSpaceDN w:val="0"/>
        <w:adjustRightInd w:val="0"/>
        <w:spacing w:before="120" w:after="120" w:line="240" w:lineRule="auto"/>
        <w:jc w:val="both"/>
        <w:rPr>
          <w:rFonts w:ascii="Times New Roman" w:hAnsi="Times New Roman" w:cs="Times New Roman"/>
          <w:noProof/>
          <w:sz w:val="24"/>
          <w:szCs w:val="24"/>
        </w:rPr>
      </w:pPr>
      <w:r w:rsidRPr="00C9671E">
        <w:rPr>
          <w:rFonts w:ascii="Times New Roman" w:hAnsi="Times New Roman" w:cs="Times New Roman"/>
          <w:sz w:val="24"/>
          <w:szCs w:val="24"/>
        </w:rPr>
        <w:lastRenderedPageBreak/>
        <w:t xml:space="preserve">ЕУ обезбеди значителна поддршка за  Северна Македонија во борбата против КОВИД-19 од почетокот на пандемијата и мобилизираше значителен пакет за финансиски одговор од околу 230 милиони евра, вклучително и макрофинансиска помош за итни медицински потреби и социоекономски одговор на пандемијата, што создаде поттик за инвестиции и раст, обезбедувајќи им на бизнисите можност да станат одржливи и релевантни во европскиот економски контекст. </w:t>
      </w:r>
    </w:p>
    <w:p w14:paraId="023A3BC1" w14:textId="1693DCBC" w:rsidR="003D4454" w:rsidRPr="00C9671E" w:rsidRDefault="003D4454" w:rsidP="006E4EB0">
      <w:pPr>
        <w:spacing w:before="120" w:after="120" w:line="240" w:lineRule="auto"/>
        <w:jc w:val="both"/>
        <w:rPr>
          <w:rFonts w:ascii="Times New Roman" w:hAnsi="Times New Roman" w:cs="Times New Roman"/>
          <w:noProof/>
          <w:sz w:val="24"/>
          <w:szCs w:val="24"/>
        </w:rPr>
      </w:pPr>
      <w:bookmarkStart w:id="318" w:name="_Hlk113968000"/>
      <w:r w:rsidRPr="00C9671E">
        <w:rPr>
          <w:rFonts w:ascii="Times New Roman" w:hAnsi="Times New Roman" w:cs="Times New Roman"/>
          <w:sz w:val="24"/>
          <w:szCs w:val="24"/>
        </w:rPr>
        <w:t>Комисијата издвои 70 милиони евра грантови од ИПА II за партнерите од Западен Балкан да им надоместат на земјите членки за препродажбата на дозите што ги добиле во согласност со Договорите на ЕУ за авансна набавка на вакцини против КОВИД-19 со производителите, како и опрема за олеснување на кампањите за вакцини, од кои Северна Македонија доби 8,2 милиони евра. Северна Македонија има добиено речиси 780.000 вакцини како донации од земјите членки на ЕУ или преку препродажба од земјите членки на ЕУ, целосно финансирани од грантот на ЕУ, и е во процес на набавка на дополнителни дози на вакцини за КОВИД-19, одобрени од Европската агенција за лекови (ЕМА), користејќи го грантот на билатерална основа. Северна Македонија, исто така, доби над 200.000 дози преку иницијативата КОВАКС, којашто е значително поддржана од ЕУ (КОВАКС, исто така, обезбеди испорака на некои од дозите донирани од земјите членки на ЕУ).</w:t>
      </w:r>
      <w:bookmarkEnd w:id="318"/>
    </w:p>
    <w:p w14:paraId="0F131F00" w14:textId="77777777" w:rsidR="003D4454" w:rsidRPr="00C9671E" w:rsidRDefault="003D4454" w:rsidP="006E4EB0">
      <w:pPr>
        <w:spacing w:before="120" w:after="120" w:line="240" w:lineRule="auto"/>
        <w:rPr>
          <w:rFonts w:ascii="Times New Roman" w:hAnsi="Times New Roman" w:cs="Times New Roman"/>
          <w:noProof/>
          <w:sz w:val="24"/>
          <w:szCs w:val="24"/>
        </w:rPr>
        <w:sectPr w:rsidR="003D4454" w:rsidRPr="00C9671E" w:rsidSect="006E4EB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titlePg/>
          <w:docGrid w:linePitch="360"/>
        </w:sectPr>
      </w:pPr>
    </w:p>
    <w:tbl>
      <w:tblPr>
        <w:tblW w:w="14175" w:type="dxa"/>
        <w:tblInd w:w="86" w:type="dxa"/>
        <w:tblLayout w:type="fixed"/>
        <w:tblLook w:val="0000" w:firstRow="0" w:lastRow="0" w:firstColumn="0" w:lastColumn="0" w:noHBand="0" w:noVBand="0"/>
      </w:tblPr>
      <w:tblGrid>
        <w:gridCol w:w="6817"/>
        <w:gridCol w:w="752"/>
        <w:gridCol w:w="946"/>
        <w:gridCol w:w="1132"/>
        <w:gridCol w:w="1132"/>
        <w:gridCol w:w="1132"/>
        <w:gridCol w:w="1132"/>
        <w:gridCol w:w="1132"/>
      </w:tblGrid>
      <w:tr w:rsidR="003D4454" w:rsidRPr="00C9671E" w14:paraId="44FDD6CE" w14:textId="77777777" w:rsidTr="00705B41">
        <w:trPr>
          <w:cantSplit/>
          <w:trHeight w:val="223"/>
        </w:trPr>
        <w:tc>
          <w:tcPr>
            <w:tcW w:w="6817" w:type="dxa"/>
            <w:tcBorders>
              <w:top w:val="nil"/>
              <w:left w:val="nil"/>
              <w:bottom w:val="nil"/>
              <w:right w:val="nil"/>
            </w:tcBorders>
          </w:tcPr>
          <w:p w14:paraId="6B990C3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bookmarkStart w:id="319" w:name="_CopyToNewDocument_"/>
            <w:bookmarkEnd w:id="319"/>
            <w:r w:rsidRPr="00C9671E">
              <w:rPr>
                <w:rFonts w:ascii="Times New Roman" w:hAnsi="Times New Roman" w:cs="Times New Roman"/>
                <w:b/>
                <w:color w:val="000000"/>
                <w:sz w:val="24"/>
                <w:szCs w:val="24"/>
              </w:rPr>
              <w:lastRenderedPageBreak/>
              <w:t>СТАТИСТИЧКИ ПОДАТОЦИ (од 1.9.2022 година)</w:t>
            </w:r>
          </w:p>
        </w:tc>
        <w:tc>
          <w:tcPr>
            <w:tcW w:w="752" w:type="dxa"/>
            <w:tcBorders>
              <w:top w:val="nil"/>
              <w:left w:val="nil"/>
              <w:bottom w:val="nil"/>
              <w:right w:val="nil"/>
            </w:tcBorders>
          </w:tcPr>
          <w:p w14:paraId="6976297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946" w:type="dxa"/>
            <w:tcBorders>
              <w:top w:val="nil"/>
              <w:left w:val="nil"/>
              <w:bottom w:val="nil"/>
              <w:right w:val="nil"/>
            </w:tcBorders>
          </w:tcPr>
          <w:p w14:paraId="7522915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4A2E131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649F2F9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49F1DD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5EB9CE6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192F41D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r>
      <w:tr w:rsidR="003D4454" w:rsidRPr="00C9671E" w14:paraId="1E875DC3" w14:textId="77777777" w:rsidTr="00705B41">
        <w:trPr>
          <w:cantSplit/>
          <w:trHeight w:val="253"/>
        </w:trPr>
        <w:tc>
          <w:tcPr>
            <w:tcW w:w="6817" w:type="dxa"/>
            <w:tcBorders>
              <w:top w:val="nil"/>
              <w:left w:val="nil"/>
              <w:bottom w:val="nil"/>
              <w:right w:val="nil"/>
            </w:tcBorders>
          </w:tcPr>
          <w:p w14:paraId="592686C9" w14:textId="4150DC2D"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FF0000"/>
                <w:sz w:val="24"/>
                <w:szCs w:val="24"/>
              </w:rPr>
            </w:pPr>
            <w:r w:rsidRPr="00C9671E">
              <w:rPr>
                <w:rFonts w:ascii="Times New Roman" w:hAnsi="Times New Roman" w:cs="Times New Roman"/>
                <w:b/>
                <w:color w:val="FF0000"/>
                <w:sz w:val="24"/>
                <w:szCs w:val="24"/>
              </w:rPr>
              <w:t>Северна Македонија</w:t>
            </w:r>
          </w:p>
        </w:tc>
        <w:tc>
          <w:tcPr>
            <w:tcW w:w="752" w:type="dxa"/>
            <w:tcBorders>
              <w:top w:val="nil"/>
              <w:left w:val="nil"/>
              <w:bottom w:val="nil"/>
              <w:right w:val="nil"/>
            </w:tcBorders>
          </w:tcPr>
          <w:p w14:paraId="360DA0B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GB"/>
              </w:rPr>
            </w:pPr>
          </w:p>
        </w:tc>
        <w:tc>
          <w:tcPr>
            <w:tcW w:w="946" w:type="dxa"/>
            <w:tcBorders>
              <w:top w:val="nil"/>
              <w:left w:val="nil"/>
              <w:bottom w:val="nil"/>
              <w:right w:val="nil"/>
            </w:tcBorders>
          </w:tcPr>
          <w:p w14:paraId="43DB623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5253109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57AFAD4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0997100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034F905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1E61871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r>
      <w:tr w:rsidR="003D4454" w:rsidRPr="00C9671E" w14:paraId="0D552021" w14:textId="77777777" w:rsidTr="00705B41">
        <w:trPr>
          <w:cantSplit/>
          <w:trHeight w:val="223"/>
        </w:trPr>
        <w:tc>
          <w:tcPr>
            <w:tcW w:w="6817" w:type="dxa"/>
            <w:tcBorders>
              <w:top w:val="nil"/>
              <w:left w:val="nil"/>
              <w:bottom w:val="nil"/>
              <w:right w:val="nil"/>
            </w:tcBorders>
          </w:tcPr>
          <w:p w14:paraId="4A24D05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752" w:type="dxa"/>
            <w:tcBorders>
              <w:top w:val="nil"/>
              <w:left w:val="nil"/>
              <w:bottom w:val="nil"/>
              <w:right w:val="nil"/>
            </w:tcBorders>
          </w:tcPr>
          <w:p w14:paraId="015A676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GB"/>
              </w:rPr>
            </w:pPr>
          </w:p>
        </w:tc>
        <w:tc>
          <w:tcPr>
            <w:tcW w:w="946" w:type="dxa"/>
            <w:tcBorders>
              <w:top w:val="nil"/>
              <w:left w:val="nil"/>
              <w:bottom w:val="nil"/>
              <w:right w:val="nil"/>
            </w:tcBorders>
          </w:tcPr>
          <w:p w14:paraId="043E090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5AEC276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30AFAC8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5E7AB46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246782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c>
          <w:tcPr>
            <w:tcW w:w="1132" w:type="dxa"/>
            <w:tcBorders>
              <w:top w:val="nil"/>
              <w:left w:val="nil"/>
              <w:bottom w:val="nil"/>
              <w:right w:val="nil"/>
            </w:tcBorders>
          </w:tcPr>
          <w:p w14:paraId="3205387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GB"/>
              </w:rPr>
            </w:pPr>
          </w:p>
        </w:tc>
      </w:tr>
      <w:tr w:rsidR="003D4454" w:rsidRPr="00C9671E" w14:paraId="1B2F83BB" w14:textId="77777777" w:rsidTr="00705B41">
        <w:trPr>
          <w:cantSplit/>
          <w:trHeight w:val="223"/>
        </w:trPr>
        <w:tc>
          <w:tcPr>
            <w:tcW w:w="6817" w:type="dxa"/>
            <w:tcBorders>
              <w:top w:val="nil"/>
              <w:left w:val="nil"/>
              <w:bottom w:val="nil"/>
              <w:right w:val="nil"/>
            </w:tcBorders>
          </w:tcPr>
          <w:p w14:paraId="15BE4A1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Основни податоци</w:t>
            </w:r>
          </w:p>
        </w:tc>
        <w:tc>
          <w:tcPr>
            <w:tcW w:w="752" w:type="dxa"/>
            <w:tcBorders>
              <w:top w:val="single" w:sz="6" w:space="0" w:color="auto"/>
              <w:left w:val="single" w:sz="6" w:space="0" w:color="auto"/>
              <w:bottom w:val="single" w:sz="6" w:space="0" w:color="auto"/>
              <w:right w:val="single" w:sz="6" w:space="0" w:color="auto"/>
            </w:tcBorders>
          </w:tcPr>
          <w:p w14:paraId="402DEFE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3D58978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0AB9FB8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1BF20EB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302BDC6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1DB20A7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52477A6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7A8FF08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8DD6D4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Население (во илјади)</w:t>
            </w:r>
          </w:p>
        </w:tc>
        <w:tc>
          <w:tcPr>
            <w:tcW w:w="752" w:type="dxa"/>
            <w:tcBorders>
              <w:top w:val="single" w:sz="6" w:space="0" w:color="auto"/>
              <w:left w:val="single" w:sz="6" w:space="0" w:color="auto"/>
              <w:bottom w:val="single" w:sz="6" w:space="0" w:color="auto"/>
              <w:right w:val="single" w:sz="6" w:space="0" w:color="auto"/>
            </w:tcBorders>
          </w:tcPr>
          <w:p w14:paraId="31B54C0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332743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2.049 s</w:t>
            </w:r>
          </w:p>
        </w:tc>
        <w:tc>
          <w:tcPr>
            <w:tcW w:w="1132" w:type="dxa"/>
            <w:tcBorders>
              <w:top w:val="single" w:sz="6" w:space="0" w:color="auto"/>
              <w:left w:val="single" w:sz="6" w:space="0" w:color="auto"/>
              <w:bottom w:val="single" w:sz="6" w:space="0" w:color="auto"/>
              <w:right w:val="single" w:sz="6" w:space="0" w:color="auto"/>
            </w:tcBorders>
          </w:tcPr>
          <w:p w14:paraId="11A173B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2.071 s</w:t>
            </w:r>
          </w:p>
        </w:tc>
        <w:tc>
          <w:tcPr>
            <w:tcW w:w="1132" w:type="dxa"/>
            <w:tcBorders>
              <w:top w:val="single" w:sz="6" w:space="0" w:color="auto"/>
              <w:left w:val="single" w:sz="6" w:space="0" w:color="auto"/>
              <w:bottom w:val="single" w:sz="6" w:space="0" w:color="auto"/>
              <w:right w:val="single" w:sz="6" w:space="0" w:color="auto"/>
            </w:tcBorders>
          </w:tcPr>
          <w:p w14:paraId="79E1187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2.074 s</w:t>
            </w:r>
          </w:p>
        </w:tc>
        <w:tc>
          <w:tcPr>
            <w:tcW w:w="1132" w:type="dxa"/>
            <w:tcBorders>
              <w:top w:val="single" w:sz="6" w:space="0" w:color="auto"/>
              <w:left w:val="single" w:sz="6" w:space="0" w:color="auto"/>
              <w:bottom w:val="single" w:sz="6" w:space="0" w:color="auto"/>
              <w:right w:val="single" w:sz="6" w:space="0" w:color="auto"/>
            </w:tcBorders>
          </w:tcPr>
          <w:p w14:paraId="4B75213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2.075 s</w:t>
            </w:r>
          </w:p>
        </w:tc>
        <w:tc>
          <w:tcPr>
            <w:tcW w:w="1132" w:type="dxa"/>
            <w:tcBorders>
              <w:top w:val="single" w:sz="6" w:space="0" w:color="auto"/>
              <w:left w:val="single" w:sz="6" w:space="0" w:color="auto"/>
              <w:bottom w:val="single" w:sz="6" w:space="0" w:color="auto"/>
              <w:right w:val="single" w:sz="6" w:space="0" w:color="auto"/>
            </w:tcBorders>
          </w:tcPr>
          <w:p w14:paraId="67872E0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2.077 s</w:t>
            </w:r>
          </w:p>
        </w:tc>
        <w:tc>
          <w:tcPr>
            <w:tcW w:w="1132" w:type="dxa"/>
            <w:tcBorders>
              <w:top w:val="single" w:sz="6" w:space="0" w:color="auto"/>
              <w:left w:val="single" w:sz="6" w:space="0" w:color="auto"/>
              <w:bottom w:val="single" w:sz="6" w:space="0" w:color="auto"/>
              <w:right w:val="single" w:sz="6" w:space="0" w:color="auto"/>
            </w:tcBorders>
          </w:tcPr>
          <w:p w14:paraId="47FE1C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2.076 s</w:t>
            </w:r>
          </w:p>
        </w:tc>
      </w:tr>
      <w:tr w:rsidR="003D4454" w:rsidRPr="00C9671E" w14:paraId="65C3928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F0AC32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Вкупна површина на земјата (км</w:t>
            </w:r>
            <w:r w:rsidRPr="00C9671E">
              <w:rPr>
                <w:rFonts w:ascii="Times New Roman" w:hAnsi="Times New Roman" w:cs="Times New Roman"/>
                <w:color w:val="000000"/>
                <w:sz w:val="24"/>
                <w:szCs w:val="24"/>
                <w:vertAlign w:val="superscript"/>
              </w:rPr>
              <w:t>2</w:t>
            </w:r>
            <w:r w:rsidRPr="00C9671E">
              <w:rPr>
                <w:rFonts w:ascii="Times New Roman" w:hAnsi="Times New Roman" w:cs="Times New Roman"/>
                <w:color w:val="000000"/>
                <w:sz w:val="24"/>
                <w:szCs w:val="24"/>
              </w:rPr>
              <w:t>)</w:t>
            </w:r>
          </w:p>
        </w:tc>
        <w:tc>
          <w:tcPr>
            <w:tcW w:w="752" w:type="dxa"/>
            <w:tcBorders>
              <w:top w:val="single" w:sz="6" w:space="0" w:color="auto"/>
              <w:left w:val="single" w:sz="6" w:space="0" w:color="auto"/>
              <w:bottom w:val="single" w:sz="6" w:space="0" w:color="auto"/>
              <w:right w:val="single" w:sz="6" w:space="0" w:color="auto"/>
            </w:tcBorders>
          </w:tcPr>
          <w:p w14:paraId="5AEEA3A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p>
        </w:tc>
        <w:tc>
          <w:tcPr>
            <w:tcW w:w="946" w:type="dxa"/>
            <w:tcBorders>
              <w:top w:val="single" w:sz="6" w:space="0" w:color="auto"/>
              <w:left w:val="single" w:sz="6" w:space="0" w:color="auto"/>
              <w:bottom w:val="single" w:sz="6" w:space="0" w:color="auto"/>
              <w:right w:val="single" w:sz="6" w:space="0" w:color="auto"/>
            </w:tcBorders>
          </w:tcPr>
          <w:p w14:paraId="10087BA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25.436 w</w:t>
            </w:r>
          </w:p>
        </w:tc>
        <w:tc>
          <w:tcPr>
            <w:tcW w:w="1132" w:type="dxa"/>
            <w:tcBorders>
              <w:top w:val="single" w:sz="6" w:space="0" w:color="auto"/>
              <w:left w:val="single" w:sz="6" w:space="0" w:color="auto"/>
              <w:bottom w:val="single" w:sz="6" w:space="0" w:color="auto"/>
              <w:right w:val="single" w:sz="6" w:space="0" w:color="auto"/>
            </w:tcBorders>
          </w:tcPr>
          <w:p w14:paraId="307CB4E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25.436 w</w:t>
            </w:r>
          </w:p>
        </w:tc>
        <w:tc>
          <w:tcPr>
            <w:tcW w:w="1132" w:type="dxa"/>
            <w:tcBorders>
              <w:top w:val="single" w:sz="6" w:space="0" w:color="auto"/>
              <w:left w:val="single" w:sz="6" w:space="0" w:color="auto"/>
              <w:bottom w:val="single" w:sz="6" w:space="0" w:color="auto"/>
              <w:right w:val="single" w:sz="6" w:space="0" w:color="auto"/>
            </w:tcBorders>
          </w:tcPr>
          <w:p w14:paraId="3B349F5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25.436 w</w:t>
            </w:r>
          </w:p>
        </w:tc>
        <w:tc>
          <w:tcPr>
            <w:tcW w:w="1132" w:type="dxa"/>
            <w:tcBorders>
              <w:top w:val="single" w:sz="6" w:space="0" w:color="auto"/>
              <w:left w:val="single" w:sz="6" w:space="0" w:color="auto"/>
              <w:bottom w:val="single" w:sz="6" w:space="0" w:color="auto"/>
              <w:right w:val="single" w:sz="6" w:space="0" w:color="auto"/>
            </w:tcBorders>
          </w:tcPr>
          <w:p w14:paraId="6CD29B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25.436 w</w:t>
            </w:r>
          </w:p>
        </w:tc>
        <w:tc>
          <w:tcPr>
            <w:tcW w:w="1132" w:type="dxa"/>
            <w:tcBorders>
              <w:top w:val="single" w:sz="6" w:space="0" w:color="auto"/>
              <w:left w:val="single" w:sz="6" w:space="0" w:color="auto"/>
              <w:bottom w:val="single" w:sz="6" w:space="0" w:color="auto"/>
              <w:right w:val="single" w:sz="6" w:space="0" w:color="auto"/>
            </w:tcBorders>
          </w:tcPr>
          <w:p w14:paraId="669FEE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25.436 w</w:t>
            </w:r>
          </w:p>
        </w:tc>
        <w:tc>
          <w:tcPr>
            <w:tcW w:w="1132" w:type="dxa"/>
            <w:tcBorders>
              <w:top w:val="single" w:sz="6" w:space="0" w:color="auto"/>
              <w:left w:val="single" w:sz="6" w:space="0" w:color="auto"/>
              <w:bottom w:val="single" w:sz="6" w:space="0" w:color="auto"/>
              <w:right w:val="single" w:sz="6" w:space="0" w:color="auto"/>
            </w:tcBorders>
          </w:tcPr>
          <w:p w14:paraId="2086930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25.436 w</w:t>
            </w:r>
          </w:p>
        </w:tc>
      </w:tr>
      <w:tr w:rsidR="003D4454" w:rsidRPr="00C9671E" w14:paraId="501000B4" w14:textId="77777777" w:rsidTr="00705B41">
        <w:trPr>
          <w:cantSplit/>
          <w:trHeight w:val="223"/>
        </w:trPr>
        <w:tc>
          <w:tcPr>
            <w:tcW w:w="6817" w:type="dxa"/>
            <w:tcBorders>
              <w:top w:val="nil"/>
              <w:left w:val="nil"/>
              <w:bottom w:val="nil"/>
              <w:right w:val="nil"/>
            </w:tcBorders>
          </w:tcPr>
          <w:p w14:paraId="1AD9A2E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2A4B71E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2B5D79A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C116B4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34DCB6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A80056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C5B3C7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32BBD7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7F8CB322" w14:textId="77777777" w:rsidTr="00705B41">
        <w:trPr>
          <w:cantSplit/>
          <w:trHeight w:val="223"/>
        </w:trPr>
        <w:tc>
          <w:tcPr>
            <w:tcW w:w="6817" w:type="dxa"/>
            <w:tcBorders>
              <w:top w:val="nil"/>
              <w:left w:val="nil"/>
              <w:bottom w:val="nil"/>
              <w:right w:val="nil"/>
            </w:tcBorders>
          </w:tcPr>
          <w:p w14:paraId="10F7D30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Национални сметки</w:t>
            </w:r>
          </w:p>
        </w:tc>
        <w:tc>
          <w:tcPr>
            <w:tcW w:w="752" w:type="dxa"/>
            <w:tcBorders>
              <w:top w:val="single" w:sz="6" w:space="0" w:color="auto"/>
              <w:left w:val="single" w:sz="6" w:space="0" w:color="auto"/>
              <w:bottom w:val="single" w:sz="6" w:space="0" w:color="auto"/>
              <w:right w:val="single" w:sz="6" w:space="0" w:color="auto"/>
            </w:tcBorders>
          </w:tcPr>
          <w:p w14:paraId="0E66B07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148DB78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1BC6832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29A1F8C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45D10DE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000F588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67C4AF7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1ED29CF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3C128B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Бруто-домашен производ (БДП) (во милиони од националната валута)</w:t>
            </w:r>
          </w:p>
        </w:tc>
        <w:tc>
          <w:tcPr>
            <w:tcW w:w="752" w:type="dxa"/>
            <w:tcBorders>
              <w:top w:val="single" w:sz="6" w:space="0" w:color="auto"/>
              <w:left w:val="single" w:sz="6" w:space="0" w:color="auto"/>
              <w:bottom w:val="single" w:sz="6" w:space="0" w:color="auto"/>
              <w:right w:val="single" w:sz="6" w:space="0" w:color="auto"/>
            </w:tcBorders>
          </w:tcPr>
          <w:p w14:paraId="34430C8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B457FE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414.622</w:t>
            </w:r>
          </w:p>
        </w:tc>
        <w:tc>
          <w:tcPr>
            <w:tcW w:w="1132" w:type="dxa"/>
            <w:tcBorders>
              <w:top w:val="single" w:sz="6" w:space="0" w:color="auto"/>
              <w:left w:val="single" w:sz="6" w:space="0" w:color="auto"/>
              <w:bottom w:val="single" w:sz="6" w:space="0" w:color="auto"/>
              <w:right w:val="single" w:sz="6" w:space="0" w:color="auto"/>
            </w:tcBorders>
          </w:tcPr>
          <w:p w14:paraId="04486C0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594.795</w:t>
            </w:r>
          </w:p>
        </w:tc>
        <w:tc>
          <w:tcPr>
            <w:tcW w:w="1132" w:type="dxa"/>
            <w:tcBorders>
              <w:top w:val="single" w:sz="6" w:space="0" w:color="auto"/>
              <w:left w:val="single" w:sz="6" w:space="0" w:color="auto"/>
              <w:bottom w:val="single" w:sz="6" w:space="0" w:color="auto"/>
              <w:right w:val="single" w:sz="6" w:space="0" w:color="auto"/>
            </w:tcBorders>
          </w:tcPr>
          <w:p w14:paraId="696426D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618.106</w:t>
            </w:r>
          </w:p>
        </w:tc>
        <w:tc>
          <w:tcPr>
            <w:tcW w:w="1132" w:type="dxa"/>
            <w:tcBorders>
              <w:top w:val="single" w:sz="6" w:space="0" w:color="auto"/>
              <w:left w:val="single" w:sz="6" w:space="0" w:color="auto"/>
              <w:bottom w:val="single" w:sz="6" w:space="0" w:color="auto"/>
              <w:right w:val="single" w:sz="6" w:space="0" w:color="auto"/>
            </w:tcBorders>
          </w:tcPr>
          <w:p w14:paraId="42332D6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660.878</w:t>
            </w:r>
          </w:p>
        </w:tc>
        <w:tc>
          <w:tcPr>
            <w:tcW w:w="1132" w:type="dxa"/>
            <w:tcBorders>
              <w:top w:val="single" w:sz="6" w:space="0" w:color="auto"/>
              <w:left w:val="single" w:sz="6" w:space="0" w:color="auto"/>
              <w:bottom w:val="single" w:sz="6" w:space="0" w:color="auto"/>
              <w:right w:val="single" w:sz="6" w:space="0" w:color="auto"/>
            </w:tcBorders>
          </w:tcPr>
          <w:p w14:paraId="406252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692.683</w:t>
            </w:r>
          </w:p>
        </w:tc>
        <w:tc>
          <w:tcPr>
            <w:tcW w:w="1132" w:type="dxa"/>
            <w:tcBorders>
              <w:top w:val="single" w:sz="6" w:space="0" w:color="auto"/>
              <w:left w:val="single" w:sz="6" w:space="0" w:color="auto"/>
              <w:bottom w:val="single" w:sz="6" w:space="0" w:color="auto"/>
              <w:right w:val="single" w:sz="6" w:space="0" w:color="auto"/>
            </w:tcBorders>
          </w:tcPr>
          <w:p w14:paraId="1711BED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655.931 p</w:t>
            </w:r>
          </w:p>
        </w:tc>
      </w:tr>
      <w:tr w:rsidR="003D4454" w:rsidRPr="00C9671E" w14:paraId="145D14B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0DD64D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Бруто-домашен производ (БДП) (во милиони евра)</w:t>
            </w:r>
          </w:p>
        </w:tc>
        <w:tc>
          <w:tcPr>
            <w:tcW w:w="752" w:type="dxa"/>
            <w:tcBorders>
              <w:top w:val="single" w:sz="6" w:space="0" w:color="auto"/>
              <w:left w:val="single" w:sz="6" w:space="0" w:color="auto"/>
              <w:bottom w:val="single" w:sz="6" w:space="0" w:color="auto"/>
              <w:right w:val="single" w:sz="6" w:space="0" w:color="auto"/>
            </w:tcBorders>
          </w:tcPr>
          <w:p w14:paraId="18713D4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B49A69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6.767</w:t>
            </w:r>
          </w:p>
        </w:tc>
        <w:tc>
          <w:tcPr>
            <w:tcW w:w="1132" w:type="dxa"/>
            <w:tcBorders>
              <w:top w:val="single" w:sz="6" w:space="0" w:color="auto"/>
              <w:left w:val="single" w:sz="6" w:space="0" w:color="auto"/>
              <w:bottom w:val="single" w:sz="6" w:space="0" w:color="auto"/>
              <w:right w:val="single" w:sz="6" w:space="0" w:color="auto"/>
            </w:tcBorders>
          </w:tcPr>
          <w:p w14:paraId="6388ACB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9.657</w:t>
            </w:r>
          </w:p>
        </w:tc>
        <w:tc>
          <w:tcPr>
            <w:tcW w:w="1132" w:type="dxa"/>
            <w:tcBorders>
              <w:top w:val="single" w:sz="6" w:space="0" w:color="auto"/>
              <w:left w:val="single" w:sz="6" w:space="0" w:color="auto"/>
              <w:bottom w:val="single" w:sz="6" w:space="0" w:color="auto"/>
              <w:right w:val="single" w:sz="6" w:space="0" w:color="auto"/>
            </w:tcBorders>
          </w:tcPr>
          <w:p w14:paraId="0D57F69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10.038</w:t>
            </w:r>
          </w:p>
        </w:tc>
        <w:tc>
          <w:tcPr>
            <w:tcW w:w="1132" w:type="dxa"/>
            <w:tcBorders>
              <w:top w:val="single" w:sz="6" w:space="0" w:color="auto"/>
              <w:left w:val="single" w:sz="6" w:space="0" w:color="auto"/>
              <w:bottom w:val="single" w:sz="6" w:space="0" w:color="auto"/>
              <w:right w:val="single" w:sz="6" w:space="0" w:color="auto"/>
            </w:tcBorders>
          </w:tcPr>
          <w:p w14:paraId="029B416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10.744</w:t>
            </w:r>
          </w:p>
        </w:tc>
        <w:tc>
          <w:tcPr>
            <w:tcW w:w="1132" w:type="dxa"/>
            <w:tcBorders>
              <w:top w:val="single" w:sz="6" w:space="0" w:color="auto"/>
              <w:left w:val="single" w:sz="6" w:space="0" w:color="auto"/>
              <w:bottom w:val="single" w:sz="6" w:space="0" w:color="auto"/>
              <w:right w:val="single" w:sz="6" w:space="0" w:color="auto"/>
            </w:tcBorders>
          </w:tcPr>
          <w:p w14:paraId="19295B7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11.262</w:t>
            </w:r>
          </w:p>
        </w:tc>
        <w:tc>
          <w:tcPr>
            <w:tcW w:w="1132" w:type="dxa"/>
            <w:tcBorders>
              <w:top w:val="single" w:sz="6" w:space="0" w:color="auto"/>
              <w:left w:val="single" w:sz="6" w:space="0" w:color="auto"/>
              <w:bottom w:val="single" w:sz="6" w:space="0" w:color="auto"/>
              <w:right w:val="single" w:sz="6" w:space="0" w:color="auto"/>
            </w:tcBorders>
          </w:tcPr>
          <w:p w14:paraId="62A5F9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10.635 p</w:t>
            </w:r>
          </w:p>
        </w:tc>
      </w:tr>
      <w:tr w:rsidR="003D4454" w:rsidRPr="00C9671E" w14:paraId="259B25F5"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1EFC05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БДП (во евра по глава на жител)</w:t>
            </w:r>
          </w:p>
        </w:tc>
        <w:tc>
          <w:tcPr>
            <w:tcW w:w="752" w:type="dxa"/>
            <w:tcBorders>
              <w:top w:val="single" w:sz="6" w:space="0" w:color="auto"/>
              <w:left w:val="single" w:sz="6" w:space="0" w:color="auto"/>
              <w:bottom w:val="single" w:sz="6" w:space="0" w:color="auto"/>
              <w:right w:val="single" w:sz="6" w:space="0" w:color="auto"/>
            </w:tcBorders>
          </w:tcPr>
          <w:p w14:paraId="75B19A1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972880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3.300 e</w:t>
            </w:r>
          </w:p>
        </w:tc>
        <w:tc>
          <w:tcPr>
            <w:tcW w:w="1132" w:type="dxa"/>
            <w:tcBorders>
              <w:top w:val="single" w:sz="6" w:space="0" w:color="auto"/>
              <w:left w:val="single" w:sz="6" w:space="0" w:color="auto"/>
              <w:bottom w:val="single" w:sz="6" w:space="0" w:color="auto"/>
              <w:right w:val="single" w:sz="6" w:space="0" w:color="auto"/>
            </w:tcBorders>
          </w:tcPr>
          <w:p w14:paraId="79D95C9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4.660 e</w:t>
            </w:r>
          </w:p>
        </w:tc>
        <w:tc>
          <w:tcPr>
            <w:tcW w:w="1132" w:type="dxa"/>
            <w:tcBorders>
              <w:top w:val="single" w:sz="6" w:space="0" w:color="auto"/>
              <w:left w:val="single" w:sz="6" w:space="0" w:color="auto"/>
              <w:bottom w:val="single" w:sz="6" w:space="0" w:color="auto"/>
              <w:right w:val="single" w:sz="6" w:space="0" w:color="auto"/>
            </w:tcBorders>
          </w:tcPr>
          <w:p w14:paraId="22C2FEB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4.840 e</w:t>
            </w:r>
          </w:p>
        </w:tc>
        <w:tc>
          <w:tcPr>
            <w:tcW w:w="1132" w:type="dxa"/>
            <w:tcBorders>
              <w:top w:val="single" w:sz="6" w:space="0" w:color="auto"/>
              <w:left w:val="single" w:sz="6" w:space="0" w:color="auto"/>
              <w:bottom w:val="single" w:sz="6" w:space="0" w:color="auto"/>
              <w:right w:val="single" w:sz="6" w:space="0" w:color="auto"/>
            </w:tcBorders>
          </w:tcPr>
          <w:p w14:paraId="2DB2090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5.170 e</w:t>
            </w:r>
          </w:p>
        </w:tc>
        <w:tc>
          <w:tcPr>
            <w:tcW w:w="1132" w:type="dxa"/>
            <w:tcBorders>
              <w:top w:val="single" w:sz="6" w:space="0" w:color="auto"/>
              <w:left w:val="single" w:sz="6" w:space="0" w:color="auto"/>
              <w:bottom w:val="single" w:sz="6" w:space="0" w:color="auto"/>
              <w:right w:val="single" w:sz="6" w:space="0" w:color="auto"/>
            </w:tcBorders>
          </w:tcPr>
          <w:p w14:paraId="2211DA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5.422 sw</w:t>
            </w:r>
          </w:p>
        </w:tc>
        <w:tc>
          <w:tcPr>
            <w:tcW w:w="1132" w:type="dxa"/>
            <w:tcBorders>
              <w:top w:val="single" w:sz="6" w:space="0" w:color="auto"/>
              <w:left w:val="single" w:sz="6" w:space="0" w:color="auto"/>
              <w:bottom w:val="single" w:sz="6" w:space="0" w:color="auto"/>
              <w:right w:val="single" w:sz="6" w:space="0" w:color="auto"/>
            </w:tcBorders>
          </w:tcPr>
          <w:p w14:paraId="21E692D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5.122 psw</w:t>
            </w:r>
          </w:p>
        </w:tc>
      </w:tr>
      <w:tr w:rsidR="003D4454" w:rsidRPr="00C9671E" w14:paraId="262DB850"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C0BED2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БДП по глава на жител (во стандарди на куповна моќ (СКМ))</w:t>
            </w:r>
          </w:p>
        </w:tc>
        <w:tc>
          <w:tcPr>
            <w:tcW w:w="752" w:type="dxa"/>
            <w:tcBorders>
              <w:top w:val="single" w:sz="6" w:space="0" w:color="auto"/>
              <w:left w:val="single" w:sz="6" w:space="0" w:color="auto"/>
              <w:bottom w:val="single" w:sz="6" w:space="0" w:color="auto"/>
              <w:right w:val="single" w:sz="6" w:space="0" w:color="auto"/>
            </w:tcBorders>
          </w:tcPr>
          <w:p w14:paraId="009630D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CDC4DA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8.313 e</w:t>
            </w:r>
          </w:p>
        </w:tc>
        <w:tc>
          <w:tcPr>
            <w:tcW w:w="1132" w:type="dxa"/>
            <w:tcBorders>
              <w:top w:val="single" w:sz="6" w:space="0" w:color="auto"/>
              <w:left w:val="single" w:sz="6" w:space="0" w:color="auto"/>
              <w:bottom w:val="single" w:sz="6" w:space="0" w:color="auto"/>
              <w:right w:val="single" w:sz="6" w:space="0" w:color="auto"/>
            </w:tcBorders>
          </w:tcPr>
          <w:p w14:paraId="4A9B8CD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10.511 e</w:t>
            </w:r>
          </w:p>
        </w:tc>
        <w:tc>
          <w:tcPr>
            <w:tcW w:w="1132" w:type="dxa"/>
            <w:tcBorders>
              <w:top w:val="single" w:sz="6" w:space="0" w:color="auto"/>
              <w:left w:val="single" w:sz="6" w:space="0" w:color="auto"/>
              <w:bottom w:val="single" w:sz="6" w:space="0" w:color="auto"/>
              <w:right w:val="single" w:sz="6" w:space="0" w:color="auto"/>
            </w:tcBorders>
          </w:tcPr>
          <w:p w14:paraId="4C7791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10.786 e</w:t>
            </w:r>
          </w:p>
        </w:tc>
        <w:tc>
          <w:tcPr>
            <w:tcW w:w="1132" w:type="dxa"/>
            <w:tcBorders>
              <w:top w:val="single" w:sz="6" w:space="0" w:color="auto"/>
              <w:left w:val="single" w:sz="6" w:space="0" w:color="auto"/>
              <w:bottom w:val="single" w:sz="6" w:space="0" w:color="auto"/>
              <w:right w:val="single" w:sz="6" w:space="0" w:color="auto"/>
            </w:tcBorders>
          </w:tcPr>
          <w:p w14:paraId="221D63F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11.391 e</w:t>
            </w:r>
          </w:p>
        </w:tc>
        <w:tc>
          <w:tcPr>
            <w:tcW w:w="1132" w:type="dxa"/>
            <w:tcBorders>
              <w:top w:val="single" w:sz="6" w:space="0" w:color="auto"/>
              <w:left w:val="single" w:sz="6" w:space="0" w:color="auto"/>
              <w:bottom w:val="single" w:sz="6" w:space="0" w:color="auto"/>
              <w:right w:val="single" w:sz="6" w:space="0" w:color="auto"/>
            </w:tcBorders>
          </w:tcPr>
          <w:p w14:paraId="5C9179D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3FCD96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49B57C6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30491C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БДП по глава на жител (во СКМ), во однос на просекот на ЕУ (ЕУ-27 = 100)</w:t>
            </w:r>
          </w:p>
        </w:tc>
        <w:tc>
          <w:tcPr>
            <w:tcW w:w="752" w:type="dxa"/>
            <w:tcBorders>
              <w:top w:val="single" w:sz="6" w:space="0" w:color="auto"/>
              <w:left w:val="single" w:sz="6" w:space="0" w:color="auto"/>
              <w:bottom w:val="single" w:sz="6" w:space="0" w:color="auto"/>
              <w:right w:val="single" w:sz="6" w:space="0" w:color="auto"/>
            </w:tcBorders>
          </w:tcPr>
          <w:p w14:paraId="215877E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9FC83C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34,6</w:t>
            </w:r>
          </w:p>
        </w:tc>
        <w:tc>
          <w:tcPr>
            <w:tcW w:w="1132" w:type="dxa"/>
            <w:tcBorders>
              <w:top w:val="single" w:sz="6" w:space="0" w:color="auto"/>
              <w:left w:val="single" w:sz="6" w:space="0" w:color="auto"/>
              <w:bottom w:val="single" w:sz="6" w:space="0" w:color="auto"/>
              <w:right w:val="single" w:sz="6" w:space="0" w:color="auto"/>
            </w:tcBorders>
          </w:tcPr>
          <w:p w14:paraId="47583F3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37,3</w:t>
            </w:r>
          </w:p>
        </w:tc>
        <w:tc>
          <w:tcPr>
            <w:tcW w:w="1132" w:type="dxa"/>
            <w:tcBorders>
              <w:top w:val="single" w:sz="6" w:space="0" w:color="auto"/>
              <w:left w:val="single" w:sz="6" w:space="0" w:color="auto"/>
              <w:bottom w:val="single" w:sz="6" w:space="0" w:color="auto"/>
              <w:right w:val="single" w:sz="6" w:space="0" w:color="auto"/>
            </w:tcBorders>
          </w:tcPr>
          <w:p w14:paraId="1F7EC7C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36,8</w:t>
            </w:r>
          </w:p>
        </w:tc>
        <w:tc>
          <w:tcPr>
            <w:tcW w:w="1132" w:type="dxa"/>
            <w:tcBorders>
              <w:top w:val="single" w:sz="6" w:space="0" w:color="auto"/>
              <w:left w:val="single" w:sz="6" w:space="0" w:color="auto"/>
              <w:bottom w:val="single" w:sz="6" w:space="0" w:color="auto"/>
              <w:right w:val="single" w:sz="6" w:space="0" w:color="auto"/>
            </w:tcBorders>
          </w:tcPr>
          <w:p w14:paraId="5DC1DA4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37,6</w:t>
            </w:r>
          </w:p>
        </w:tc>
        <w:tc>
          <w:tcPr>
            <w:tcW w:w="1132" w:type="dxa"/>
            <w:tcBorders>
              <w:top w:val="single" w:sz="6" w:space="0" w:color="auto"/>
              <w:left w:val="single" w:sz="6" w:space="0" w:color="auto"/>
              <w:bottom w:val="single" w:sz="6" w:space="0" w:color="auto"/>
              <w:right w:val="single" w:sz="6" w:space="0" w:color="auto"/>
            </w:tcBorders>
          </w:tcPr>
          <w:p w14:paraId="70DED0B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38,1</w:t>
            </w:r>
          </w:p>
        </w:tc>
        <w:tc>
          <w:tcPr>
            <w:tcW w:w="1132" w:type="dxa"/>
            <w:tcBorders>
              <w:top w:val="single" w:sz="6" w:space="0" w:color="auto"/>
              <w:left w:val="single" w:sz="6" w:space="0" w:color="auto"/>
              <w:bottom w:val="single" w:sz="6" w:space="0" w:color="auto"/>
              <w:right w:val="single" w:sz="6" w:space="0" w:color="auto"/>
            </w:tcBorders>
          </w:tcPr>
          <w:p w14:paraId="2EFA0C4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111AC9C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2730E6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Реална стапка на раст на БДП: промена од претходната година на обемот на БДП (%)</w:t>
            </w:r>
          </w:p>
        </w:tc>
        <w:tc>
          <w:tcPr>
            <w:tcW w:w="752" w:type="dxa"/>
            <w:tcBorders>
              <w:top w:val="single" w:sz="6" w:space="0" w:color="auto"/>
              <w:left w:val="single" w:sz="6" w:space="0" w:color="auto"/>
              <w:bottom w:val="single" w:sz="6" w:space="0" w:color="auto"/>
              <w:right w:val="single" w:sz="6" w:space="0" w:color="auto"/>
            </w:tcBorders>
          </w:tcPr>
          <w:p w14:paraId="22FC771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A714F8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-0,4</w:t>
            </w:r>
          </w:p>
        </w:tc>
        <w:tc>
          <w:tcPr>
            <w:tcW w:w="1132" w:type="dxa"/>
            <w:tcBorders>
              <w:top w:val="single" w:sz="6" w:space="0" w:color="auto"/>
              <w:left w:val="single" w:sz="6" w:space="0" w:color="auto"/>
              <w:bottom w:val="single" w:sz="6" w:space="0" w:color="auto"/>
              <w:right w:val="single" w:sz="6" w:space="0" w:color="auto"/>
            </w:tcBorders>
          </w:tcPr>
          <w:p w14:paraId="78049AE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w:t>
            </w:r>
          </w:p>
        </w:tc>
        <w:tc>
          <w:tcPr>
            <w:tcW w:w="1132" w:type="dxa"/>
            <w:tcBorders>
              <w:top w:val="single" w:sz="6" w:space="0" w:color="auto"/>
              <w:left w:val="single" w:sz="6" w:space="0" w:color="auto"/>
              <w:bottom w:val="single" w:sz="6" w:space="0" w:color="auto"/>
              <w:right w:val="single" w:sz="6" w:space="0" w:color="auto"/>
            </w:tcBorders>
          </w:tcPr>
          <w:p w14:paraId="63B8485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w:t>
            </w:r>
          </w:p>
        </w:tc>
        <w:tc>
          <w:tcPr>
            <w:tcW w:w="1132" w:type="dxa"/>
            <w:tcBorders>
              <w:top w:val="single" w:sz="6" w:space="0" w:color="auto"/>
              <w:left w:val="single" w:sz="6" w:space="0" w:color="auto"/>
              <w:bottom w:val="single" w:sz="6" w:space="0" w:color="auto"/>
              <w:right w:val="single" w:sz="6" w:space="0" w:color="auto"/>
            </w:tcBorders>
          </w:tcPr>
          <w:p w14:paraId="2FBD291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w:t>
            </w:r>
          </w:p>
        </w:tc>
        <w:tc>
          <w:tcPr>
            <w:tcW w:w="1132" w:type="dxa"/>
            <w:tcBorders>
              <w:top w:val="single" w:sz="6" w:space="0" w:color="auto"/>
              <w:left w:val="single" w:sz="6" w:space="0" w:color="auto"/>
              <w:bottom w:val="single" w:sz="6" w:space="0" w:color="auto"/>
              <w:right w:val="single" w:sz="6" w:space="0" w:color="auto"/>
            </w:tcBorders>
          </w:tcPr>
          <w:p w14:paraId="06DD79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3,9</w:t>
            </w:r>
          </w:p>
        </w:tc>
        <w:tc>
          <w:tcPr>
            <w:tcW w:w="1132" w:type="dxa"/>
            <w:tcBorders>
              <w:top w:val="single" w:sz="6" w:space="0" w:color="auto"/>
              <w:left w:val="single" w:sz="6" w:space="0" w:color="auto"/>
              <w:bottom w:val="single" w:sz="6" w:space="0" w:color="auto"/>
              <w:right w:val="single" w:sz="6" w:space="0" w:color="auto"/>
            </w:tcBorders>
          </w:tcPr>
          <w:p w14:paraId="797B7A9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- 6,1 p</w:t>
            </w:r>
          </w:p>
        </w:tc>
      </w:tr>
      <w:tr w:rsidR="003D4454" w:rsidRPr="00C9671E" w14:paraId="36D3D3C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BBB7F6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Пораст на вработеноста (податоци од националните сметки), во однос на претходната година (%)</w:t>
            </w:r>
          </w:p>
        </w:tc>
        <w:tc>
          <w:tcPr>
            <w:tcW w:w="752" w:type="dxa"/>
            <w:tcBorders>
              <w:top w:val="single" w:sz="6" w:space="0" w:color="auto"/>
              <w:left w:val="single" w:sz="6" w:space="0" w:color="auto"/>
              <w:bottom w:val="single" w:sz="6" w:space="0" w:color="auto"/>
              <w:right w:val="single" w:sz="6" w:space="0" w:color="auto"/>
            </w:tcBorders>
          </w:tcPr>
          <w:p w14:paraId="73128CE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9B4132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w:t>
            </w:r>
          </w:p>
        </w:tc>
        <w:tc>
          <w:tcPr>
            <w:tcW w:w="1132" w:type="dxa"/>
            <w:tcBorders>
              <w:top w:val="single" w:sz="6" w:space="0" w:color="auto"/>
              <w:left w:val="single" w:sz="6" w:space="0" w:color="auto"/>
              <w:bottom w:val="single" w:sz="6" w:space="0" w:color="auto"/>
              <w:right w:val="single" w:sz="6" w:space="0" w:color="auto"/>
            </w:tcBorders>
          </w:tcPr>
          <w:p w14:paraId="7C503A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1132" w:type="dxa"/>
            <w:tcBorders>
              <w:top w:val="single" w:sz="6" w:space="0" w:color="auto"/>
              <w:left w:val="single" w:sz="6" w:space="0" w:color="auto"/>
              <w:bottom w:val="single" w:sz="6" w:space="0" w:color="auto"/>
              <w:right w:val="single" w:sz="6" w:space="0" w:color="auto"/>
            </w:tcBorders>
          </w:tcPr>
          <w:p w14:paraId="2CE8DC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w:t>
            </w:r>
          </w:p>
        </w:tc>
        <w:tc>
          <w:tcPr>
            <w:tcW w:w="1132" w:type="dxa"/>
            <w:tcBorders>
              <w:top w:val="single" w:sz="6" w:space="0" w:color="auto"/>
              <w:left w:val="single" w:sz="6" w:space="0" w:color="auto"/>
              <w:bottom w:val="single" w:sz="6" w:space="0" w:color="auto"/>
              <w:right w:val="single" w:sz="6" w:space="0" w:color="auto"/>
            </w:tcBorders>
          </w:tcPr>
          <w:p w14:paraId="7C58C9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7536DE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1132" w:type="dxa"/>
            <w:tcBorders>
              <w:top w:val="single" w:sz="6" w:space="0" w:color="auto"/>
              <w:left w:val="single" w:sz="6" w:space="0" w:color="auto"/>
              <w:bottom w:val="single" w:sz="6" w:space="0" w:color="auto"/>
              <w:right w:val="single" w:sz="6" w:space="0" w:color="auto"/>
            </w:tcBorders>
          </w:tcPr>
          <w:p w14:paraId="54F785C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4709D7F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7701A6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Раст на продуктивноста на трудот: раст на БДП (во обем) по вработен, во однос на претходната година (%)</w:t>
            </w:r>
          </w:p>
        </w:tc>
        <w:tc>
          <w:tcPr>
            <w:tcW w:w="752" w:type="dxa"/>
            <w:tcBorders>
              <w:top w:val="single" w:sz="6" w:space="0" w:color="auto"/>
              <w:left w:val="single" w:sz="6" w:space="0" w:color="auto"/>
              <w:bottom w:val="single" w:sz="6" w:space="0" w:color="auto"/>
              <w:right w:val="single" w:sz="6" w:space="0" w:color="auto"/>
            </w:tcBorders>
          </w:tcPr>
          <w:p w14:paraId="22B212E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48CCD6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- 5</w:t>
            </w:r>
          </w:p>
        </w:tc>
        <w:tc>
          <w:tcPr>
            <w:tcW w:w="1132" w:type="dxa"/>
            <w:tcBorders>
              <w:top w:val="single" w:sz="6" w:space="0" w:color="auto"/>
              <w:left w:val="single" w:sz="6" w:space="0" w:color="auto"/>
              <w:bottom w:val="single" w:sz="6" w:space="0" w:color="auto"/>
              <w:right w:val="single" w:sz="6" w:space="0" w:color="auto"/>
            </w:tcBorders>
          </w:tcPr>
          <w:p w14:paraId="48B121A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p>
        </w:tc>
        <w:tc>
          <w:tcPr>
            <w:tcW w:w="1132" w:type="dxa"/>
            <w:tcBorders>
              <w:top w:val="single" w:sz="6" w:space="0" w:color="auto"/>
              <w:left w:val="single" w:sz="6" w:space="0" w:color="auto"/>
              <w:bottom w:val="single" w:sz="6" w:space="0" w:color="auto"/>
              <w:right w:val="single" w:sz="6" w:space="0" w:color="auto"/>
            </w:tcBorders>
          </w:tcPr>
          <w:p w14:paraId="4E646B0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1132" w:type="dxa"/>
            <w:tcBorders>
              <w:top w:val="single" w:sz="6" w:space="0" w:color="auto"/>
              <w:left w:val="single" w:sz="6" w:space="0" w:color="auto"/>
              <w:bottom w:val="single" w:sz="6" w:space="0" w:color="auto"/>
              <w:right w:val="single" w:sz="6" w:space="0" w:color="auto"/>
            </w:tcBorders>
          </w:tcPr>
          <w:p w14:paraId="7D6A5B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w:t>
            </w:r>
          </w:p>
        </w:tc>
        <w:tc>
          <w:tcPr>
            <w:tcW w:w="1132" w:type="dxa"/>
            <w:tcBorders>
              <w:top w:val="single" w:sz="6" w:space="0" w:color="auto"/>
              <w:left w:val="single" w:sz="6" w:space="0" w:color="auto"/>
              <w:bottom w:val="single" w:sz="6" w:space="0" w:color="auto"/>
              <w:right w:val="single" w:sz="6" w:space="0" w:color="auto"/>
            </w:tcBorders>
          </w:tcPr>
          <w:p w14:paraId="7445690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1132" w:type="dxa"/>
            <w:tcBorders>
              <w:top w:val="single" w:sz="6" w:space="0" w:color="auto"/>
              <w:left w:val="single" w:sz="6" w:space="0" w:color="auto"/>
              <w:bottom w:val="single" w:sz="6" w:space="0" w:color="auto"/>
              <w:right w:val="single" w:sz="6" w:space="0" w:color="auto"/>
            </w:tcBorders>
          </w:tcPr>
          <w:p w14:paraId="25DA696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3D9C4C4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FAE6F1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Раст на трошоците за труд по единица, во однос на претходната година (%)</w:t>
            </w:r>
          </w:p>
        </w:tc>
        <w:tc>
          <w:tcPr>
            <w:tcW w:w="752" w:type="dxa"/>
            <w:tcBorders>
              <w:top w:val="single" w:sz="6" w:space="0" w:color="auto"/>
              <w:left w:val="single" w:sz="6" w:space="0" w:color="auto"/>
              <w:bottom w:val="single" w:sz="6" w:space="0" w:color="auto"/>
              <w:right w:val="single" w:sz="6" w:space="0" w:color="auto"/>
            </w:tcBorders>
          </w:tcPr>
          <w:p w14:paraId="41E8180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FEE7C2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B1D425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C8839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12096C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A45DCD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535D7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53D1320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0269E1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**3-годишна промена (T/T-3) во индексот на номиналниот раст на трошоците за труд по единица (2015 = 100)</w:t>
            </w:r>
          </w:p>
        </w:tc>
        <w:tc>
          <w:tcPr>
            <w:tcW w:w="752" w:type="dxa"/>
            <w:tcBorders>
              <w:top w:val="single" w:sz="6" w:space="0" w:color="auto"/>
              <w:left w:val="single" w:sz="6" w:space="0" w:color="auto"/>
              <w:bottom w:val="single" w:sz="6" w:space="0" w:color="auto"/>
              <w:right w:val="single" w:sz="6" w:space="0" w:color="auto"/>
            </w:tcBorders>
          </w:tcPr>
          <w:p w14:paraId="548B22C8"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8C2315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CECAD6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EC5228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BCB8F2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B3ED4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461B7B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5798470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B7A2FB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Продуктивноста на трудот по вработен: БДП (во СКМ) по вработен во однос на просекот на ЕУ (ЕУ-27 = 100)</w:t>
            </w:r>
          </w:p>
        </w:tc>
        <w:tc>
          <w:tcPr>
            <w:tcW w:w="752" w:type="dxa"/>
            <w:tcBorders>
              <w:top w:val="single" w:sz="6" w:space="0" w:color="auto"/>
              <w:left w:val="single" w:sz="6" w:space="0" w:color="auto"/>
              <w:bottom w:val="single" w:sz="6" w:space="0" w:color="auto"/>
              <w:right w:val="single" w:sz="6" w:space="0" w:color="auto"/>
            </w:tcBorders>
          </w:tcPr>
          <w:p w14:paraId="3986014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64ED0E8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w:t>
            </w:r>
          </w:p>
        </w:tc>
        <w:tc>
          <w:tcPr>
            <w:tcW w:w="1132" w:type="dxa"/>
            <w:tcBorders>
              <w:top w:val="single" w:sz="6" w:space="0" w:color="auto"/>
              <w:left w:val="single" w:sz="6" w:space="0" w:color="auto"/>
              <w:bottom w:val="single" w:sz="6" w:space="0" w:color="auto"/>
              <w:right w:val="single" w:sz="6" w:space="0" w:color="auto"/>
            </w:tcBorders>
          </w:tcPr>
          <w:p w14:paraId="7552971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44</w:t>
            </w:r>
          </w:p>
        </w:tc>
        <w:tc>
          <w:tcPr>
            <w:tcW w:w="1132" w:type="dxa"/>
            <w:tcBorders>
              <w:top w:val="single" w:sz="6" w:space="0" w:color="auto"/>
              <w:left w:val="single" w:sz="6" w:space="0" w:color="auto"/>
              <w:bottom w:val="single" w:sz="6" w:space="0" w:color="auto"/>
              <w:right w:val="single" w:sz="6" w:space="0" w:color="auto"/>
            </w:tcBorders>
          </w:tcPr>
          <w:p w14:paraId="7C7C70C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43</w:t>
            </w:r>
          </w:p>
        </w:tc>
        <w:tc>
          <w:tcPr>
            <w:tcW w:w="1132" w:type="dxa"/>
            <w:tcBorders>
              <w:top w:val="single" w:sz="6" w:space="0" w:color="auto"/>
              <w:left w:val="single" w:sz="6" w:space="0" w:color="auto"/>
              <w:bottom w:val="single" w:sz="6" w:space="0" w:color="auto"/>
              <w:right w:val="single" w:sz="6" w:space="0" w:color="auto"/>
            </w:tcBorders>
          </w:tcPr>
          <w:p w14:paraId="4D00621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w:t>
            </w:r>
          </w:p>
        </w:tc>
        <w:tc>
          <w:tcPr>
            <w:tcW w:w="1132" w:type="dxa"/>
            <w:tcBorders>
              <w:top w:val="single" w:sz="6" w:space="0" w:color="auto"/>
              <w:left w:val="single" w:sz="6" w:space="0" w:color="auto"/>
              <w:bottom w:val="single" w:sz="6" w:space="0" w:color="auto"/>
              <w:right w:val="single" w:sz="6" w:space="0" w:color="auto"/>
            </w:tcBorders>
          </w:tcPr>
          <w:p w14:paraId="22BF91F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w:t>
            </w:r>
          </w:p>
        </w:tc>
        <w:tc>
          <w:tcPr>
            <w:tcW w:w="1132" w:type="dxa"/>
            <w:tcBorders>
              <w:top w:val="single" w:sz="6" w:space="0" w:color="auto"/>
              <w:left w:val="single" w:sz="6" w:space="0" w:color="auto"/>
              <w:bottom w:val="single" w:sz="6" w:space="0" w:color="auto"/>
              <w:right w:val="single" w:sz="6" w:space="0" w:color="auto"/>
            </w:tcBorders>
          </w:tcPr>
          <w:p w14:paraId="2A4FEF3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71220FD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7E9A6A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Бруто-додадена вредност според главни сектори</w:t>
            </w:r>
          </w:p>
        </w:tc>
        <w:tc>
          <w:tcPr>
            <w:tcW w:w="752" w:type="dxa"/>
            <w:tcBorders>
              <w:top w:val="single" w:sz="6" w:space="0" w:color="auto"/>
              <w:left w:val="single" w:sz="6" w:space="0" w:color="auto"/>
              <w:bottom w:val="single" w:sz="6" w:space="0" w:color="auto"/>
              <w:right w:val="nil"/>
            </w:tcBorders>
          </w:tcPr>
          <w:p w14:paraId="29ABC0C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946" w:type="dxa"/>
            <w:tcBorders>
              <w:top w:val="single" w:sz="6" w:space="0" w:color="auto"/>
              <w:left w:val="nil"/>
              <w:bottom w:val="single" w:sz="6" w:space="0" w:color="auto"/>
              <w:right w:val="nil"/>
            </w:tcBorders>
          </w:tcPr>
          <w:p w14:paraId="3D0F067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0477758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75E43FF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5075C51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5117A4C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single" w:sz="6" w:space="0" w:color="auto"/>
            </w:tcBorders>
          </w:tcPr>
          <w:p w14:paraId="131A40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27A11C9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2C739B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Земјоделство, шумарство и рибарство (%)</w:t>
            </w:r>
          </w:p>
        </w:tc>
        <w:tc>
          <w:tcPr>
            <w:tcW w:w="752" w:type="dxa"/>
            <w:tcBorders>
              <w:top w:val="single" w:sz="6" w:space="0" w:color="auto"/>
              <w:left w:val="single" w:sz="6" w:space="0" w:color="auto"/>
              <w:bottom w:val="single" w:sz="6" w:space="0" w:color="auto"/>
              <w:right w:val="single" w:sz="6" w:space="0" w:color="auto"/>
            </w:tcBorders>
          </w:tcPr>
          <w:p w14:paraId="6FFF318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C1BB3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12,0</w:t>
            </w:r>
          </w:p>
        </w:tc>
        <w:tc>
          <w:tcPr>
            <w:tcW w:w="1132" w:type="dxa"/>
            <w:tcBorders>
              <w:top w:val="single" w:sz="6" w:space="0" w:color="auto"/>
              <w:left w:val="single" w:sz="6" w:space="0" w:color="auto"/>
              <w:bottom w:val="single" w:sz="6" w:space="0" w:color="auto"/>
              <w:right w:val="single" w:sz="6" w:space="0" w:color="auto"/>
            </w:tcBorders>
          </w:tcPr>
          <w:p w14:paraId="3DB0DDC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10,6</w:t>
            </w:r>
          </w:p>
        </w:tc>
        <w:tc>
          <w:tcPr>
            <w:tcW w:w="1132" w:type="dxa"/>
            <w:tcBorders>
              <w:top w:val="single" w:sz="6" w:space="0" w:color="auto"/>
              <w:left w:val="single" w:sz="6" w:space="0" w:color="auto"/>
              <w:bottom w:val="single" w:sz="6" w:space="0" w:color="auto"/>
              <w:right w:val="single" w:sz="6" w:space="0" w:color="auto"/>
            </w:tcBorders>
          </w:tcPr>
          <w:p w14:paraId="4537FB6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9,1</w:t>
            </w:r>
          </w:p>
        </w:tc>
        <w:tc>
          <w:tcPr>
            <w:tcW w:w="1132" w:type="dxa"/>
            <w:tcBorders>
              <w:top w:val="single" w:sz="6" w:space="0" w:color="auto"/>
              <w:left w:val="single" w:sz="6" w:space="0" w:color="auto"/>
              <w:bottom w:val="single" w:sz="6" w:space="0" w:color="auto"/>
              <w:right w:val="single" w:sz="6" w:space="0" w:color="auto"/>
            </w:tcBorders>
          </w:tcPr>
          <w:p w14:paraId="0FB43A1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9,8</w:t>
            </w:r>
          </w:p>
        </w:tc>
        <w:tc>
          <w:tcPr>
            <w:tcW w:w="1132" w:type="dxa"/>
            <w:tcBorders>
              <w:top w:val="single" w:sz="6" w:space="0" w:color="auto"/>
              <w:left w:val="single" w:sz="6" w:space="0" w:color="auto"/>
              <w:bottom w:val="single" w:sz="6" w:space="0" w:color="auto"/>
              <w:right w:val="single" w:sz="6" w:space="0" w:color="auto"/>
            </w:tcBorders>
          </w:tcPr>
          <w:p w14:paraId="102478F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9,4</w:t>
            </w:r>
          </w:p>
        </w:tc>
        <w:tc>
          <w:tcPr>
            <w:tcW w:w="1132" w:type="dxa"/>
            <w:tcBorders>
              <w:top w:val="single" w:sz="6" w:space="0" w:color="auto"/>
              <w:left w:val="single" w:sz="6" w:space="0" w:color="auto"/>
              <w:bottom w:val="single" w:sz="6" w:space="0" w:color="auto"/>
              <w:right w:val="single" w:sz="6" w:space="0" w:color="auto"/>
            </w:tcBorders>
          </w:tcPr>
          <w:p w14:paraId="6242617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9,8 p</w:t>
            </w:r>
          </w:p>
        </w:tc>
      </w:tr>
      <w:tr w:rsidR="003D4454" w:rsidRPr="00C9671E" w14:paraId="0430990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AD2C65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Индустрија (%)</w:t>
            </w:r>
          </w:p>
        </w:tc>
        <w:tc>
          <w:tcPr>
            <w:tcW w:w="752" w:type="dxa"/>
            <w:tcBorders>
              <w:top w:val="single" w:sz="6" w:space="0" w:color="auto"/>
              <w:left w:val="single" w:sz="6" w:space="0" w:color="auto"/>
              <w:bottom w:val="single" w:sz="6" w:space="0" w:color="auto"/>
              <w:right w:val="single" w:sz="6" w:space="0" w:color="auto"/>
            </w:tcBorders>
          </w:tcPr>
          <w:p w14:paraId="330ED5C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B2B667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15,4</w:t>
            </w:r>
          </w:p>
        </w:tc>
        <w:tc>
          <w:tcPr>
            <w:tcW w:w="1132" w:type="dxa"/>
            <w:tcBorders>
              <w:top w:val="single" w:sz="6" w:space="0" w:color="auto"/>
              <w:left w:val="single" w:sz="6" w:space="0" w:color="auto"/>
              <w:bottom w:val="single" w:sz="6" w:space="0" w:color="auto"/>
              <w:right w:val="single" w:sz="6" w:space="0" w:color="auto"/>
            </w:tcBorders>
          </w:tcPr>
          <w:p w14:paraId="2B07C2A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19,7</w:t>
            </w:r>
          </w:p>
        </w:tc>
        <w:tc>
          <w:tcPr>
            <w:tcW w:w="1132" w:type="dxa"/>
            <w:tcBorders>
              <w:top w:val="single" w:sz="6" w:space="0" w:color="auto"/>
              <w:left w:val="single" w:sz="6" w:space="0" w:color="auto"/>
              <w:bottom w:val="single" w:sz="6" w:space="0" w:color="auto"/>
              <w:right w:val="single" w:sz="6" w:space="0" w:color="auto"/>
            </w:tcBorders>
          </w:tcPr>
          <w:p w14:paraId="63C309B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20,5</w:t>
            </w:r>
          </w:p>
        </w:tc>
        <w:tc>
          <w:tcPr>
            <w:tcW w:w="1132" w:type="dxa"/>
            <w:tcBorders>
              <w:top w:val="single" w:sz="6" w:space="0" w:color="auto"/>
              <w:left w:val="single" w:sz="6" w:space="0" w:color="auto"/>
              <w:bottom w:val="single" w:sz="6" w:space="0" w:color="auto"/>
              <w:right w:val="single" w:sz="6" w:space="0" w:color="auto"/>
            </w:tcBorders>
          </w:tcPr>
          <w:p w14:paraId="4C594A5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21,5</w:t>
            </w:r>
          </w:p>
        </w:tc>
        <w:tc>
          <w:tcPr>
            <w:tcW w:w="1132" w:type="dxa"/>
            <w:tcBorders>
              <w:top w:val="single" w:sz="6" w:space="0" w:color="auto"/>
              <w:left w:val="single" w:sz="6" w:space="0" w:color="auto"/>
              <w:bottom w:val="single" w:sz="6" w:space="0" w:color="auto"/>
              <w:right w:val="single" w:sz="6" w:space="0" w:color="auto"/>
            </w:tcBorders>
          </w:tcPr>
          <w:p w14:paraId="1884B0D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20,8</w:t>
            </w:r>
          </w:p>
        </w:tc>
        <w:tc>
          <w:tcPr>
            <w:tcW w:w="1132" w:type="dxa"/>
            <w:tcBorders>
              <w:top w:val="single" w:sz="6" w:space="0" w:color="auto"/>
              <w:left w:val="single" w:sz="6" w:space="0" w:color="auto"/>
              <w:bottom w:val="single" w:sz="6" w:space="0" w:color="auto"/>
              <w:right w:val="single" w:sz="6" w:space="0" w:color="auto"/>
            </w:tcBorders>
          </w:tcPr>
          <w:p w14:paraId="357FD58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19,7 p</w:t>
            </w:r>
          </w:p>
        </w:tc>
      </w:tr>
      <w:tr w:rsidR="003D4454" w:rsidRPr="00C9671E" w14:paraId="16C5794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76C7A3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Градежништво (%)</w:t>
            </w:r>
          </w:p>
        </w:tc>
        <w:tc>
          <w:tcPr>
            <w:tcW w:w="752" w:type="dxa"/>
            <w:tcBorders>
              <w:top w:val="single" w:sz="6" w:space="0" w:color="auto"/>
              <w:left w:val="single" w:sz="6" w:space="0" w:color="auto"/>
              <w:bottom w:val="single" w:sz="6" w:space="0" w:color="auto"/>
              <w:right w:val="single" w:sz="6" w:space="0" w:color="auto"/>
            </w:tcBorders>
          </w:tcPr>
          <w:p w14:paraId="7799586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0E28C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w:t>
            </w:r>
          </w:p>
        </w:tc>
        <w:tc>
          <w:tcPr>
            <w:tcW w:w="1132" w:type="dxa"/>
            <w:tcBorders>
              <w:top w:val="single" w:sz="6" w:space="0" w:color="auto"/>
              <w:left w:val="single" w:sz="6" w:space="0" w:color="auto"/>
              <w:bottom w:val="single" w:sz="6" w:space="0" w:color="auto"/>
              <w:right w:val="single" w:sz="6" w:space="0" w:color="auto"/>
            </w:tcBorders>
          </w:tcPr>
          <w:p w14:paraId="1E46B64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8,0</w:t>
            </w:r>
          </w:p>
        </w:tc>
        <w:tc>
          <w:tcPr>
            <w:tcW w:w="1132" w:type="dxa"/>
            <w:tcBorders>
              <w:top w:val="single" w:sz="6" w:space="0" w:color="auto"/>
              <w:left w:val="single" w:sz="6" w:space="0" w:color="auto"/>
              <w:bottom w:val="single" w:sz="6" w:space="0" w:color="auto"/>
              <w:right w:val="single" w:sz="6" w:space="0" w:color="auto"/>
            </w:tcBorders>
          </w:tcPr>
          <w:p w14:paraId="19CB6D6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7,5</w:t>
            </w:r>
          </w:p>
        </w:tc>
        <w:tc>
          <w:tcPr>
            <w:tcW w:w="1132" w:type="dxa"/>
            <w:tcBorders>
              <w:top w:val="single" w:sz="6" w:space="0" w:color="auto"/>
              <w:left w:val="single" w:sz="6" w:space="0" w:color="auto"/>
              <w:bottom w:val="single" w:sz="6" w:space="0" w:color="auto"/>
              <w:right w:val="single" w:sz="6" w:space="0" w:color="auto"/>
            </w:tcBorders>
          </w:tcPr>
          <w:p w14:paraId="2C30D75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6,2</w:t>
            </w:r>
          </w:p>
        </w:tc>
        <w:tc>
          <w:tcPr>
            <w:tcW w:w="1132" w:type="dxa"/>
            <w:tcBorders>
              <w:top w:val="single" w:sz="6" w:space="0" w:color="auto"/>
              <w:left w:val="single" w:sz="6" w:space="0" w:color="auto"/>
              <w:bottom w:val="single" w:sz="6" w:space="0" w:color="auto"/>
              <w:right w:val="single" w:sz="6" w:space="0" w:color="auto"/>
            </w:tcBorders>
          </w:tcPr>
          <w:p w14:paraId="68C1228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w:t>
            </w:r>
          </w:p>
        </w:tc>
        <w:tc>
          <w:tcPr>
            <w:tcW w:w="1132" w:type="dxa"/>
            <w:tcBorders>
              <w:top w:val="single" w:sz="6" w:space="0" w:color="auto"/>
              <w:left w:val="single" w:sz="6" w:space="0" w:color="auto"/>
              <w:bottom w:val="single" w:sz="6" w:space="0" w:color="auto"/>
              <w:right w:val="single" w:sz="6" w:space="0" w:color="auto"/>
            </w:tcBorders>
          </w:tcPr>
          <w:p w14:paraId="545688A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6,2 p</w:t>
            </w:r>
          </w:p>
        </w:tc>
      </w:tr>
      <w:tr w:rsidR="003D4454" w:rsidRPr="00C9671E" w14:paraId="5F85C8F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0CAC0B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Услуги (%)</w:t>
            </w:r>
          </w:p>
        </w:tc>
        <w:tc>
          <w:tcPr>
            <w:tcW w:w="752" w:type="dxa"/>
            <w:tcBorders>
              <w:top w:val="single" w:sz="6" w:space="0" w:color="auto"/>
              <w:left w:val="single" w:sz="6" w:space="0" w:color="auto"/>
              <w:bottom w:val="single" w:sz="6" w:space="0" w:color="auto"/>
              <w:right w:val="single" w:sz="6" w:space="0" w:color="auto"/>
            </w:tcBorders>
          </w:tcPr>
          <w:p w14:paraId="6D4FBBC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6E32A2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66,2 s</w:t>
            </w:r>
          </w:p>
        </w:tc>
        <w:tc>
          <w:tcPr>
            <w:tcW w:w="1132" w:type="dxa"/>
            <w:tcBorders>
              <w:top w:val="single" w:sz="6" w:space="0" w:color="auto"/>
              <w:left w:val="single" w:sz="6" w:space="0" w:color="auto"/>
              <w:bottom w:val="single" w:sz="6" w:space="0" w:color="auto"/>
              <w:right w:val="single" w:sz="6" w:space="0" w:color="auto"/>
            </w:tcBorders>
          </w:tcPr>
          <w:p w14:paraId="73D47C1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61,8 s</w:t>
            </w:r>
          </w:p>
        </w:tc>
        <w:tc>
          <w:tcPr>
            <w:tcW w:w="1132" w:type="dxa"/>
            <w:tcBorders>
              <w:top w:val="single" w:sz="6" w:space="0" w:color="auto"/>
              <w:left w:val="single" w:sz="6" w:space="0" w:color="auto"/>
              <w:bottom w:val="single" w:sz="6" w:space="0" w:color="auto"/>
              <w:right w:val="single" w:sz="6" w:space="0" w:color="auto"/>
            </w:tcBorders>
          </w:tcPr>
          <w:p w14:paraId="39AA915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62,9 s</w:t>
            </w:r>
          </w:p>
        </w:tc>
        <w:tc>
          <w:tcPr>
            <w:tcW w:w="1132" w:type="dxa"/>
            <w:tcBorders>
              <w:top w:val="single" w:sz="6" w:space="0" w:color="auto"/>
              <w:left w:val="single" w:sz="6" w:space="0" w:color="auto"/>
              <w:bottom w:val="single" w:sz="6" w:space="0" w:color="auto"/>
              <w:right w:val="single" w:sz="6" w:space="0" w:color="auto"/>
            </w:tcBorders>
          </w:tcPr>
          <w:p w14:paraId="5F95CB8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62,6 s</w:t>
            </w:r>
          </w:p>
        </w:tc>
        <w:tc>
          <w:tcPr>
            <w:tcW w:w="1132" w:type="dxa"/>
            <w:tcBorders>
              <w:top w:val="single" w:sz="6" w:space="0" w:color="auto"/>
              <w:left w:val="single" w:sz="6" w:space="0" w:color="auto"/>
              <w:bottom w:val="single" w:sz="6" w:space="0" w:color="auto"/>
              <w:right w:val="single" w:sz="6" w:space="0" w:color="auto"/>
            </w:tcBorders>
          </w:tcPr>
          <w:p w14:paraId="10AE0AF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63,4 s</w:t>
            </w:r>
          </w:p>
        </w:tc>
        <w:tc>
          <w:tcPr>
            <w:tcW w:w="1132" w:type="dxa"/>
            <w:tcBorders>
              <w:top w:val="single" w:sz="6" w:space="0" w:color="auto"/>
              <w:left w:val="single" w:sz="6" w:space="0" w:color="auto"/>
              <w:bottom w:val="single" w:sz="6" w:space="0" w:color="auto"/>
              <w:right w:val="single" w:sz="6" w:space="0" w:color="auto"/>
            </w:tcBorders>
          </w:tcPr>
          <w:p w14:paraId="7FE717B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64,1 s</w:t>
            </w:r>
          </w:p>
        </w:tc>
      </w:tr>
      <w:tr w:rsidR="003D4454" w:rsidRPr="00C9671E" w14:paraId="73178D5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A7B340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Расходи на финална потрошувачка, како дел од БДП (%)</w:t>
            </w:r>
          </w:p>
        </w:tc>
        <w:tc>
          <w:tcPr>
            <w:tcW w:w="752" w:type="dxa"/>
            <w:tcBorders>
              <w:top w:val="single" w:sz="6" w:space="0" w:color="auto"/>
              <w:left w:val="single" w:sz="6" w:space="0" w:color="auto"/>
              <w:bottom w:val="single" w:sz="6" w:space="0" w:color="auto"/>
              <w:right w:val="single" w:sz="6" w:space="0" w:color="auto"/>
            </w:tcBorders>
          </w:tcPr>
          <w:p w14:paraId="5388906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9192D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95,8</w:t>
            </w:r>
          </w:p>
        </w:tc>
        <w:tc>
          <w:tcPr>
            <w:tcW w:w="1132" w:type="dxa"/>
            <w:tcBorders>
              <w:top w:val="single" w:sz="6" w:space="0" w:color="auto"/>
              <w:left w:val="single" w:sz="6" w:space="0" w:color="auto"/>
              <w:bottom w:val="single" w:sz="6" w:space="0" w:color="auto"/>
              <w:right w:val="single" w:sz="6" w:space="0" w:color="auto"/>
            </w:tcBorders>
          </w:tcPr>
          <w:p w14:paraId="15F20AD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82,3</w:t>
            </w:r>
          </w:p>
        </w:tc>
        <w:tc>
          <w:tcPr>
            <w:tcW w:w="1132" w:type="dxa"/>
            <w:tcBorders>
              <w:top w:val="single" w:sz="6" w:space="0" w:color="auto"/>
              <w:left w:val="single" w:sz="6" w:space="0" w:color="auto"/>
              <w:bottom w:val="single" w:sz="6" w:space="0" w:color="auto"/>
              <w:right w:val="single" w:sz="6" w:space="0" w:color="auto"/>
            </w:tcBorders>
          </w:tcPr>
          <w:p w14:paraId="0196C76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81,6</w:t>
            </w:r>
          </w:p>
        </w:tc>
        <w:tc>
          <w:tcPr>
            <w:tcW w:w="1132" w:type="dxa"/>
            <w:tcBorders>
              <w:top w:val="single" w:sz="6" w:space="0" w:color="auto"/>
              <w:left w:val="single" w:sz="6" w:space="0" w:color="auto"/>
              <w:bottom w:val="single" w:sz="6" w:space="0" w:color="auto"/>
              <w:right w:val="single" w:sz="6" w:space="0" w:color="auto"/>
            </w:tcBorders>
          </w:tcPr>
          <w:p w14:paraId="106D7A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80,1</w:t>
            </w:r>
          </w:p>
        </w:tc>
        <w:tc>
          <w:tcPr>
            <w:tcW w:w="1132" w:type="dxa"/>
            <w:tcBorders>
              <w:top w:val="single" w:sz="6" w:space="0" w:color="auto"/>
              <w:left w:val="single" w:sz="6" w:space="0" w:color="auto"/>
              <w:bottom w:val="single" w:sz="6" w:space="0" w:color="auto"/>
              <w:right w:val="single" w:sz="6" w:space="0" w:color="auto"/>
            </w:tcBorders>
          </w:tcPr>
          <w:p w14:paraId="53130B7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79,5</w:t>
            </w:r>
          </w:p>
        </w:tc>
        <w:tc>
          <w:tcPr>
            <w:tcW w:w="1132" w:type="dxa"/>
            <w:tcBorders>
              <w:top w:val="single" w:sz="6" w:space="0" w:color="auto"/>
              <w:left w:val="single" w:sz="6" w:space="0" w:color="auto"/>
              <w:bottom w:val="single" w:sz="6" w:space="0" w:color="auto"/>
              <w:right w:val="single" w:sz="6" w:space="0" w:color="auto"/>
            </w:tcBorders>
          </w:tcPr>
          <w:p w14:paraId="1CAB4F8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83,9 p</w:t>
            </w:r>
          </w:p>
        </w:tc>
      </w:tr>
      <w:tr w:rsidR="003D4454" w:rsidRPr="00C9671E" w14:paraId="1B9373A9"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99545F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Бруто-инвестиции во основни средства, како дел од БДП (%)</w:t>
            </w:r>
          </w:p>
        </w:tc>
        <w:tc>
          <w:tcPr>
            <w:tcW w:w="752" w:type="dxa"/>
            <w:tcBorders>
              <w:top w:val="single" w:sz="6" w:space="0" w:color="auto"/>
              <w:left w:val="single" w:sz="6" w:space="0" w:color="auto"/>
              <w:bottom w:val="single" w:sz="6" w:space="0" w:color="auto"/>
              <w:right w:val="single" w:sz="6" w:space="0" w:color="auto"/>
            </w:tcBorders>
          </w:tcPr>
          <w:p w14:paraId="1EAB454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B8E192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24,6</w:t>
            </w:r>
          </w:p>
        </w:tc>
        <w:tc>
          <w:tcPr>
            <w:tcW w:w="1132" w:type="dxa"/>
            <w:tcBorders>
              <w:top w:val="single" w:sz="6" w:space="0" w:color="auto"/>
              <w:left w:val="single" w:sz="6" w:space="0" w:color="auto"/>
              <w:bottom w:val="single" w:sz="6" w:space="0" w:color="auto"/>
              <w:right w:val="single" w:sz="6" w:space="0" w:color="auto"/>
            </w:tcBorders>
          </w:tcPr>
          <w:p w14:paraId="05689F6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24,4</w:t>
            </w:r>
          </w:p>
        </w:tc>
        <w:tc>
          <w:tcPr>
            <w:tcW w:w="1132" w:type="dxa"/>
            <w:tcBorders>
              <w:top w:val="single" w:sz="6" w:space="0" w:color="auto"/>
              <w:left w:val="single" w:sz="6" w:space="0" w:color="auto"/>
              <w:bottom w:val="single" w:sz="6" w:space="0" w:color="auto"/>
              <w:right w:val="single" w:sz="6" w:space="0" w:color="auto"/>
            </w:tcBorders>
          </w:tcPr>
          <w:p w14:paraId="19B7F3E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22,5</w:t>
            </w:r>
          </w:p>
        </w:tc>
        <w:tc>
          <w:tcPr>
            <w:tcW w:w="1132" w:type="dxa"/>
            <w:tcBorders>
              <w:top w:val="single" w:sz="6" w:space="0" w:color="auto"/>
              <w:left w:val="single" w:sz="6" w:space="0" w:color="auto"/>
              <w:bottom w:val="single" w:sz="6" w:space="0" w:color="auto"/>
              <w:right w:val="single" w:sz="6" w:space="0" w:color="auto"/>
            </w:tcBorders>
          </w:tcPr>
          <w:p w14:paraId="4114DBA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w:t>
            </w:r>
          </w:p>
        </w:tc>
        <w:tc>
          <w:tcPr>
            <w:tcW w:w="1132" w:type="dxa"/>
            <w:tcBorders>
              <w:top w:val="single" w:sz="6" w:space="0" w:color="auto"/>
              <w:left w:val="single" w:sz="6" w:space="0" w:color="auto"/>
              <w:bottom w:val="single" w:sz="6" w:space="0" w:color="auto"/>
              <w:right w:val="single" w:sz="6" w:space="0" w:color="auto"/>
            </w:tcBorders>
          </w:tcPr>
          <w:p w14:paraId="583C783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21,0</w:t>
            </w:r>
          </w:p>
        </w:tc>
        <w:tc>
          <w:tcPr>
            <w:tcW w:w="1132" w:type="dxa"/>
            <w:tcBorders>
              <w:top w:val="single" w:sz="6" w:space="0" w:color="auto"/>
              <w:left w:val="single" w:sz="6" w:space="0" w:color="auto"/>
              <w:bottom w:val="single" w:sz="6" w:space="0" w:color="auto"/>
              <w:right w:val="single" w:sz="6" w:space="0" w:color="auto"/>
            </w:tcBorders>
          </w:tcPr>
          <w:p w14:paraId="22DD36F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22,1 p</w:t>
            </w:r>
          </w:p>
        </w:tc>
      </w:tr>
      <w:tr w:rsidR="003D4454" w:rsidRPr="00C9671E" w14:paraId="257B9B3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2C8D58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Промени во резервите, како дел од БДП (%)</w:t>
            </w:r>
          </w:p>
        </w:tc>
        <w:tc>
          <w:tcPr>
            <w:tcW w:w="752" w:type="dxa"/>
            <w:tcBorders>
              <w:top w:val="single" w:sz="6" w:space="0" w:color="auto"/>
              <w:left w:val="single" w:sz="6" w:space="0" w:color="auto"/>
              <w:bottom w:val="single" w:sz="6" w:space="0" w:color="auto"/>
              <w:right w:val="single" w:sz="6" w:space="0" w:color="auto"/>
            </w:tcBorders>
          </w:tcPr>
          <w:p w14:paraId="6DB3E87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9EB04D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w:t>
            </w:r>
          </w:p>
        </w:tc>
        <w:tc>
          <w:tcPr>
            <w:tcW w:w="1132" w:type="dxa"/>
            <w:tcBorders>
              <w:top w:val="single" w:sz="6" w:space="0" w:color="auto"/>
              <w:left w:val="single" w:sz="6" w:space="0" w:color="auto"/>
              <w:bottom w:val="single" w:sz="6" w:space="0" w:color="auto"/>
              <w:right w:val="single" w:sz="6" w:space="0" w:color="auto"/>
            </w:tcBorders>
          </w:tcPr>
          <w:p w14:paraId="382484A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8,1</w:t>
            </w:r>
          </w:p>
        </w:tc>
        <w:tc>
          <w:tcPr>
            <w:tcW w:w="1132" w:type="dxa"/>
            <w:tcBorders>
              <w:top w:val="single" w:sz="6" w:space="0" w:color="auto"/>
              <w:left w:val="single" w:sz="6" w:space="0" w:color="auto"/>
              <w:bottom w:val="single" w:sz="6" w:space="0" w:color="auto"/>
              <w:right w:val="single" w:sz="6" w:space="0" w:color="auto"/>
            </w:tcBorders>
          </w:tcPr>
          <w:p w14:paraId="6C0162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9,7</w:t>
            </w:r>
          </w:p>
        </w:tc>
        <w:tc>
          <w:tcPr>
            <w:tcW w:w="1132" w:type="dxa"/>
            <w:tcBorders>
              <w:top w:val="single" w:sz="6" w:space="0" w:color="auto"/>
              <w:left w:val="single" w:sz="6" w:space="0" w:color="auto"/>
              <w:bottom w:val="single" w:sz="6" w:space="0" w:color="auto"/>
              <w:right w:val="single" w:sz="6" w:space="0" w:color="auto"/>
            </w:tcBorders>
          </w:tcPr>
          <w:p w14:paraId="0C33F55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12,2</w:t>
            </w:r>
          </w:p>
        </w:tc>
        <w:tc>
          <w:tcPr>
            <w:tcW w:w="1132" w:type="dxa"/>
            <w:tcBorders>
              <w:top w:val="single" w:sz="6" w:space="0" w:color="auto"/>
              <w:left w:val="single" w:sz="6" w:space="0" w:color="auto"/>
              <w:bottom w:val="single" w:sz="6" w:space="0" w:color="auto"/>
              <w:right w:val="single" w:sz="6" w:space="0" w:color="auto"/>
            </w:tcBorders>
          </w:tcPr>
          <w:p w14:paraId="4058111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13,2</w:t>
            </w:r>
          </w:p>
        </w:tc>
        <w:tc>
          <w:tcPr>
            <w:tcW w:w="1132" w:type="dxa"/>
            <w:tcBorders>
              <w:top w:val="single" w:sz="6" w:space="0" w:color="auto"/>
              <w:left w:val="single" w:sz="6" w:space="0" w:color="auto"/>
              <w:bottom w:val="single" w:sz="6" w:space="0" w:color="auto"/>
              <w:right w:val="single" w:sz="6" w:space="0" w:color="auto"/>
            </w:tcBorders>
          </w:tcPr>
          <w:p w14:paraId="0D94EE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 p</w:t>
            </w:r>
          </w:p>
        </w:tc>
      </w:tr>
      <w:tr w:rsidR="003D4454" w:rsidRPr="00C9671E" w14:paraId="393FC8A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1FE7AA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Извоз на стоки и услуги, во однос на БДП (%)</w:t>
            </w:r>
          </w:p>
        </w:tc>
        <w:tc>
          <w:tcPr>
            <w:tcW w:w="752" w:type="dxa"/>
            <w:tcBorders>
              <w:top w:val="single" w:sz="6" w:space="0" w:color="auto"/>
              <w:left w:val="single" w:sz="6" w:space="0" w:color="auto"/>
              <w:bottom w:val="single" w:sz="6" w:space="0" w:color="auto"/>
              <w:right w:val="single" w:sz="6" w:space="0" w:color="auto"/>
            </w:tcBorders>
          </w:tcPr>
          <w:p w14:paraId="6AB515B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00DEEC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32,8</w:t>
            </w:r>
          </w:p>
        </w:tc>
        <w:tc>
          <w:tcPr>
            <w:tcW w:w="1132" w:type="dxa"/>
            <w:tcBorders>
              <w:top w:val="single" w:sz="6" w:space="0" w:color="auto"/>
              <w:left w:val="single" w:sz="6" w:space="0" w:color="auto"/>
              <w:bottom w:val="single" w:sz="6" w:space="0" w:color="auto"/>
              <w:right w:val="single" w:sz="6" w:space="0" w:color="auto"/>
            </w:tcBorders>
          </w:tcPr>
          <w:p w14:paraId="718E536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50,7</w:t>
            </w:r>
          </w:p>
        </w:tc>
        <w:tc>
          <w:tcPr>
            <w:tcW w:w="1132" w:type="dxa"/>
            <w:tcBorders>
              <w:top w:val="single" w:sz="6" w:space="0" w:color="auto"/>
              <w:left w:val="single" w:sz="6" w:space="0" w:color="auto"/>
              <w:bottom w:val="single" w:sz="6" w:space="0" w:color="auto"/>
              <w:right w:val="single" w:sz="6" w:space="0" w:color="auto"/>
            </w:tcBorders>
          </w:tcPr>
          <w:p w14:paraId="7C23AEE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55,1</w:t>
            </w:r>
          </w:p>
        </w:tc>
        <w:tc>
          <w:tcPr>
            <w:tcW w:w="1132" w:type="dxa"/>
            <w:tcBorders>
              <w:top w:val="single" w:sz="6" w:space="0" w:color="auto"/>
              <w:left w:val="single" w:sz="6" w:space="0" w:color="auto"/>
              <w:bottom w:val="single" w:sz="6" w:space="0" w:color="auto"/>
              <w:right w:val="single" w:sz="6" w:space="0" w:color="auto"/>
            </w:tcBorders>
          </w:tcPr>
          <w:p w14:paraId="7FFA9F9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60,4</w:t>
            </w:r>
          </w:p>
        </w:tc>
        <w:tc>
          <w:tcPr>
            <w:tcW w:w="1132" w:type="dxa"/>
            <w:tcBorders>
              <w:top w:val="single" w:sz="6" w:space="0" w:color="auto"/>
              <w:left w:val="single" w:sz="6" w:space="0" w:color="auto"/>
              <w:bottom w:val="single" w:sz="6" w:space="0" w:color="auto"/>
              <w:right w:val="single" w:sz="6" w:space="0" w:color="auto"/>
            </w:tcBorders>
          </w:tcPr>
          <w:p w14:paraId="4CCA9BC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62,4</w:t>
            </w:r>
          </w:p>
        </w:tc>
        <w:tc>
          <w:tcPr>
            <w:tcW w:w="1132" w:type="dxa"/>
            <w:tcBorders>
              <w:top w:val="single" w:sz="6" w:space="0" w:color="auto"/>
              <w:left w:val="single" w:sz="6" w:space="0" w:color="auto"/>
              <w:bottom w:val="single" w:sz="6" w:space="0" w:color="auto"/>
              <w:right w:val="single" w:sz="6" w:space="0" w:color="auto"/>
            </w:tcBorders>
          </w:tcPr>
          <w:p w14:paraId="13C64B3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58,9 p</w:t>
            </w:r>
          </w:p>
        </w:tc>
      </w:tr>
      <w:tr w:rsidR="003D4454" w:rsidRPr="00C9671E" w14:paraId="1A08C77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F029D4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Увоз на стоки и услуги, во однос на БДП (%)</w:t>
            </w:r>
          </w:p>
        </w:tc>
        <w:tc>
          <w:tcPr>
            <w:tcW w:w="752" w:type="dxa"/>
            <w:tcBorders>
              <w:top w:val="single" w:sz="6" w:space="0" w:color="auto"/>
              <w:left w:val="single" w:sz="6" w:space="0" w:color="auto"/>
              <w:bottom w:val="single" w:sz="6" w:space="0" w:color="auto"/>
              <w:right w:val="single" w:sz="6" w:space="0" w:color="auto"/>
            </w:tcBorders>
          </w:tcPr>
          <w:p w14:paraId="0259172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EDAAD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54,4</w:t>
            </w:r>
          </w:p>
        </w:tc>
        <w:tc>
          <w:tcPr>
            <w:tcW w:w="1132" w:type="dxa"/>
            <w:tcBorders>
              <w:top w:val="single" w:sz="6" w:space="0" w:color="auto"/>
              <w:left w:val="single" w:sz="6" w:space="0" w:color="auto"/>
              <w:bottom w:val="single" w:sz="6" w:space="0" w:color="auto"/>
              <w:right w:val="single" w:sz="6" w:space="0" w:color="auto"/>
            </w:tcBorders>
          </w:tcPr>
          <w:p w14:paraId="162DC32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65,5</w:t>
            </w:r>
          </w:p>
        </w:tc>
        <w:tc>
          <w:tcPr>
            <w:tcW w:w="1132" w:type="dxa"/>
            <w:tcBorders>
              <w:top w:val="single" w:sz="6" w:space="0" w:color="auto"/>
              <w:left w:val="single" w:sz="6" w:space="0" w:color="auto"/>
              <w:bottom w:val="single" w:sz="6" w:space="0" w:color="auto"/>
              <w:right w:val="single" w:sz="6" w:space="0" w:color="auto"/>
            </w:tcBorders>
          </w:tcPr>
          <w:p w14:paraId="74A4DAE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69,0</w:t>
            </w:r>
          </w:p>
        </w:tc>
        <w:tc>
          <w:tcPr>
            <w:tcW w:w="1132" w:type="dxa"/>
            <w:tcBorders>
              <w:top w:val="single" w:sz="6" w:space="0" w:color="auto"/>
              <w:left w:val="single" w:sz="6" w:space="0" w:color="auto"/>
              <w:bottom w:val="single" w:sz="6" w:space="0" w:color="auto"/>
              <w:right w:val="single" w:sz="6" w:space="0" w:color="auto"/>
            </w:tcBorders>
          </w:tcPr>
          <w:p w14:paraId="736EB6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72,8</w:t>
            </w:r>
          </w:p>
        </w:tc>
        <w:tc>
          <w:tcPr>
            <w:tcW w:w="1132" w:type="dxa"/>
            <w:tcBorders>
              <w:top w:val="single" w:sz="6" w:space="0" w:color="auto"/>
              <w:left w:val="single" w:sz="6" w:space="0" w:color="auto"/>
              <w:bottom w:val="single" w:sz="6" w:space="0" w:color="auto"/>
              <w:right w:val="single" w:sz="6" w:space="0" w:color="auto"/>
            </w:tcBorders>
          </w:tcPr>
          <w:p w14:paraId="794AB4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76,2</w:t>
            </w:r>
          </w:p>
        </w:tc>
        <w:tc>
          <w:tcPr>
            <w:tcW w:w="1132" w:type="dxa"/>
            <w:tcBorders>
              <w:top w:val="single" w:sz="6" w:space="0" w:color="auto"/>
              <w:left w:val="single" w:sz="6" w:space="0" w:color="auto"/>
              <w:bottom w:val="single" w:sz="6" w:space="0" w:color="auto"/>
              <w:right w:val="single" w:sz="6" w:space="0" w:color="auto"/>
            </w:tcBorders>
          </w:tcPr>
          <w:p w14:paraId="41E8C6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71.9 p</w:t>
            </w:r>
          </w:p>
        </w:tc>
      </w:tr>
      <w:tr w:rsidR="003D4454" w:rsidRPr="00C9671E" w14:paraId="152850A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DD9868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Бруто-инвестиции во основни средства од генералниот владин сектор, како процент од БДП (%)</w:t>
            </w:r>
          </w:p>
        </w:tc>
        <w:tc>
          <w:tcPr>
            <w:tcW w:w="752" w:type="dxa"/>
            <w:tcBorders>
              <w:top w:val="single" w:sz="6" w:space="0" w:color="auto"/>
              <w:left w:val="single" w:sz="6" w:space="0" w:color="auto"/>
              <w:bottom w:val="single" w:sz="6" w:space="0" w:color="auto"/>
              <w:right w:val="single" w:sz="6" w:space="0" w:color="auto"/>
            </w:tcBorders>
          </w:tcPr>
          <w:p w14:paraId="7D0C03B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0F7C0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B8D9A2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25F1E4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618B93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D87759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30B7C5B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0D0BD568" w14:textId="77777777" w:rsidTr="00705B41">
        <w:trPr>
          <w:cantSplit/>
          <w:trHeight w:val="223"/>
        </w:trPr>
        <w:tc>
          <w:tcPr>
            <w:tcW w:w="6817" w:type="dxa"/>
            <w:tcBorders>
              <w:top w:val="nil"/>
              <w:left w:val="nil"/>
              <w:bottom w:val="nil"/>
              <w:right w:val="nil"/>
            </w:tcBorders>
          </w:tcPr>
          <w:p w14:paraId="46ABBED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45C5D8B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521883D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1864C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833DD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8B3D9B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6B34E5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7D04C4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2734996B" w14:textId="77777777" w:rsidTr="00705B41">
        <w:trPr>
          <w:cantSplit/>
          <w:trHeight w:val="223"/>
        </w:trPr>
        <w:tc>
          <w:tcPr>
            <w:tcW w:w="6817" w:type="dxa"/>
            <w:tcBorders>
              <w:top w:val="nil"/>
              <w:left w:val="nil"/>
              <w:bottom w:val="nil"/>
              <w:right w:val="nil"/>
            </w:tcBorders>
          </w:tcPr>
          <w:p w14:paraId="1A06A98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Деловна активност</w:t>
            </w:r>
          </w:p>
        </w:tc>
        <w:tc>
          <w:tcPr>
            <w:tcW w:w="752" w:type="dxa"/>
            <w:tcBorders>
              <w:top w:val="single" w:sz="6" w:space="0" w:color="auto"/>
              <w:left w:val="single" w:sz="6" w:space="0" w:color="auto"/>
              <w:bottom w:val="single" w:sz="6" w:space="0" w:color="auto"/>
              <w:right w:val="single" w:sz="6" w:space="0" w:color="auto"/>
            </w:tcBorders>
          </w:tcPr>
          <w:p w14:paraId="0CA1B8F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3340D1C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58BCFCD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653D72E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016D6F0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5E49C72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4F69C19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24AB7B8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7EE765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Индекс на обемот на индустриско производство (2015 = 100)</w:t>
            </w:r>
          </w:p>
        </w:tc>
        <w:tc>
          <w:tcPr>
            <w:tcW w:w="752" w:type="dxa"/>
            <w:tcBorders>
              <w:top w:val="single" w:sz="6" w:space="0" w:color="auto"/>
              <w:left w:val="single" w:sz="6" w:space="0" w:color="auto"/>
              <w:bottom w:val="single" w:sz="6" w:space="0" w:color="auto"/>
              <w:right w:val="single" w:sz="6" w:space="0" w:color="auto"/>
            </w:tcBorders>
          </w:tcPr>
          <w:p w14:paraId="023F951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C4876B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89,1</w:t>
            </w:r>
          </w:p>
        </w:tc>
        <w:tc>
          <w:tcPr>
            <w:tcW w:w="1132" w:type="dxa"/>
            <w:tcBorders>
              <w:top w:val="single" w:sz="6" w:space="0" w:color="auto"/>
              <w:left w:val="single" w:sz="6" w:space="0" w:color="auto"/>
              <w:bottom w:val="single" w:sz="6" w:space="0" w:color="auto"/>
              <w:right w:val="single" w:sz="6" w:space="0" w:color="auto"/>
            </w:tcBorders>
          </w:tcPr>
          <w:p w14:paraId="63001E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103,4</w:t>
            </w:r>
          </w:p>
        </w:tc>
        <w:tc>
          <w:tcPr>
            <w:tcW w:w="1132" w:type="dxa"/>
            <w:tcBorders>
              <w:top w:val="single" w:sz="6" w:space="0" w:color="auto"/>
              <w:left w:val="single" w:sz="6" w:space="0" w:color="auto"/>
              <w:bottom w:val="single" w:sz="6" w:space="0" w:color="auto"/>
              <w:right w:val="single" w:sz="6" w:space="0" w:color="auto"/>
            </w:tcBorders>
          </w:tcPr>
          <w:p w14:paraId="169F36A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103,6</w:t>
            </w:r>
          </w:p>
        </w:tc>
        <w:tc>
          <w:tcPr>
            <w:tcW w:w="1132" w:type="dxa"/>
            <w:tcBorders>
              <w:top w:val="single" w:sz="6" w:space="0" w:color="auto"/>
              <w:left w:val="single" w:sz="6" w:space="0" w:color="auto"/>
              <w:bottom w:val="single" w:sz="6" w:space="0" w:color="auto"/>
              <w:right w:val="single" w:sz="6" w:space="0" w:color="auto"/>
            </w:tcBorders>
          </w:tcPr>
          <w:p w14:paraId="750034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109,2</w:t>
            </w:r>
          </w:p>
        </w:tc>
        <w:tc>
          <w:tcPr>
            <w:tcW w:w="1132" w:type="dxa"/>
            <w:tcBorders>
              <w:top w:val="single" w:sz="6" w:space="0" w:color="auto"/>
              <w:left w:val="single" w:sz="6" w:space="0" w:color="auto"/>
              <w:bottom w:val="single" w:sz="6" w:space="0" w:color="auto"/>
              <w:right w:val="single" w:sz="6" w:space="0" w:color="auto"/>
            </w:tcBorders>
          </w:tcPr>
          <w:p w14:paraId="23EA12A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113,2</w:t>
            </w:r>
          </w:p>
        </w:tc>
        <w:tc>
          <w:tcPr>
            <w:tcW w:w="1132" w:type="dxa"/>
            <w:tcBorders>
              <w:top w:val="single" w:sz="6" w:space="0" w:color="auto"/>
              <w:left w:val="single" w:sz="6" w:space="0" w:color="auto"/>
              <w:bottom w:val="single" w:sz="6" w:space="0" w:color="auto"/>
              <w:right w:val="single" w:sz="6" w:space="0" w:color="auto"/>
            </w:tcBorders>
          </w:tcPr>
          <w:p w14:paraId="65DB2F1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102,4</w:t>
            </w:r>
          </w:p>
        </w:tc>
      </w:tr>
      <w:tr w:rsidR="003D4454" w:rsidRPr="00C9671E" w14:paraId="6FD2B045"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1AF880B"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Број на активни претпријатија (број)</w:t>
            </w:r>
          </w:p>
        </w:tc>
        <w:tc>
          <w:tcPr>
            <w:tcW w:w="752" w:type="dxa"/>
            <w:tcBorders>
              <w:top w:val="single" w:sz="6" w:space="0" w:color="auto"/>
              <w:left w:val="single" w:sz="6" w:space="0" w:color="auto"/>
              <w:bottom w:val="single" w:sz="6" w:space="0" w:color="auto"/>
              <w:right w:val="single" w:sz="6" w:space="0" w:color="auto"/>
            </w:tcBorders>
          </w:tcPr>
          <w:p w14:paraId="2602F43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A5F191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56.131 w</w:t>
            </w:r>
          </w:p>
        </w:tc>
        <w:tc>
          <w:tcPr>
            <w:tcW w:w="1132" w:type="dxa"/>
            <w:tcBorders>
              <w:top w:val="single" w:sz="6" w:space="0" w:color="auto"/>
              <w:left w:val="single" w:sz="6" w:space="0" w:color="auto"/>
              <w:bottom w:val="single" w:sz="6" w:space="0" w:color="auto"/>
              <w:right w:val="single" w:sz="6" w:space="0" w:color="auto"/>
            </w:tcBorders>
          </w:tcPr>
          <w:p w14:paraId="0D51D1D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55.469 w</w:t>
            </w:r>
          </w:p>
        </w:tc>
        <w:tc>
          <w:tcPr>
            <w:tcW w:w="1132" w:type="dxa"/>
            <w:tcBorders>
              <w:top w:val="single" w:sz="6" w:space="0" w:color="auto"/>
              <w:left w:val="single" w:sz="6" w:space="0" w:color="auto"/>
              <w:bottom w:val="single" w:sz="6" w:space="0" w:color="auto"/>
              <w:right w:val="single" w:sz="6" w:space="0" w:color="auto"/>
            </w:tcBorders>
          </w:tcPr>
          <w:p w14:paraId="16ECA43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55.359 w</w:t>
            </w:r>
          </w:p>
        </w:tc>
        <w:tc>
          <w:tcPr>
            <w:tcW w:w="1132" w:type="dxa"/>
            <w:tcBorders>
              <w:top w:val="single" w:sz="6" w:space="0" w:color="auto"/>
              <w:left w:val="single" w:sz="6" w:space="0" w:color="auto"/>
              <w:bottom w:val="single" w:sz="6" w:space="0" w:color="auto"/>
              <w:right w:val="single" w:sz="6" w:space="0" w:color="auto"/>
            </w:tcBorders>
          </w:tcPr>
          <w:p w14:paraId="0F657E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58.231 w</w:t>
            </w:r>
          </w:p>
        </w:tc>
        <w:tc>
          <w:tcPr>
            <w:tcW w:w="1132" w:type="dxa"/>
            <w:tcBorders>
              <w:top w:val="single" w:sz="6" w:space="0" w:color="auto"/>
              <w:left w:val="single" w:sz="6" w:space="0" w:color="auto"/>
              <w:bottom w:val="single" w:sz="6" w:space="0" w:color="auto"/>
              <w:right w:val="single" w:sz="6" w:space="0" w:color="auto"/>
            </w:tcBorders>
          </w:tcPr>
          <w:p w14:paraId="43AADDA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58.765 w</w:t>
            </w:r>
          </w:p>
        </w:tc>
        <w:tc>
          <w:tcPr>
            <w:tcW w:w="1132" w:type="dxa"/>
            <w:tcBorders>
              <w:top w:val="single" w:sz="6" w:space="0" w:color="auto"/>
              <w:left w:val="single" w:sz="6" w:space="0" w:color="auto"/>
              <w:bottom w:val="single" w:sz="6" w:space="0" w:color="auto"/>
              <w:right w:val="single" w:sz="6" w:space="0" w:color="auto"/>
            </w:tcBorders>
          </w:tcPr>
          <w:p w14:paraId="0D0765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57.853 w</w:t>
            </w:r>
          </w:p>
        </w:tc>
      </w:tr>
      <w:tr w:rsidR="003D4454" w:rsidRPr="00C9671E" w14:paraId="53A78A1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0C13EA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основање: број на основани претпријатија во референтниот период (т) поделен со бројот на претпријатија кои се активни во т (%)</w:t>
            </w:r>
          </w:p>
        </w:tc>
        <w:tc>
          <w:tcPr>
            <w:tcW w:w="752" w:type="dxa"/>
            <w:tcBorders>
              <w:top w:val="single" w:sz="6" w:space="0" w:color="auto"/>
              <w:left w:val="single" w:sz="6" w:space="0" w:color="auto"/>
              <w:bottom w:val="single" w:sz="6" w:space="0" w:color="auto"/>
              <w:right w:val="single" w:sz="6" w:space="0" w:color="auto"/>
            </w:tcBorders>
          </w:tcPr>
          <w:p w14:paraId="108D629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B0CE1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17,6 w</w:t>
            </w:r>
          </w:p>
        </w:tc>
        <w:tc>
          <w:tcPr>
            <w:tcW w:w="1132" w:type="dxa"/>
            <w:tcBorders>
              <w:top w:val="single" w:sz="6" w:space="0" w:color="auto"/>
              <w:left w:val="single" w:sz="6" w:space="0" w:color="auto"/>
              <w:bottom w:val="single" w:sz="6" w:space="0" w:color="auto"/>
              <w:right w:val="single" w:sz="6" w:space="0" w:color="auto"/>
            </w:tcBorders>
          </w:tcPr>
          <w:p w14:paraId="58388C2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10,3</w:t>
            </w:r>
          </w:p>
        </w:tc>
        <w:tc>
          <w:tcPr>
            <w:tcW w:w="1132" w:type="dxa"/>
            <w:tcBorders>
              <w:top w:val="single" w:sz="6" w:space="0" w:color="auto"/>
              <w:left w:val="single" w:sz="6" w:space="0" w:color="auto"/>
              <w:bottom w:val="single" w:sz="6" w:space="0" w:color="auto"/>
              <w:right w:val="single" w:sz="6" w:space="0" w:color="auto"/>
            </w:tcBorders>
          </w:tcPr>
          <w:p w14:paraId="0C64BDB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9,2</w:t>
            </w:r>
          </w:p>
        </w:tc>
        <w:tc>
          <w:tcPr>
            <w:tcW w:w="1132" w:type="dxa"/>
            <w:tcBorders>
              <w:top w:val="single" w:sz="6" w:space="0" w:color="auto"/>
              <w:left w:val="single" w:sz="6" w:space="0" w:color="auto"/>
              <w:bottom w:val="single" w:sz="6" w:space="0" w:color="auto"/>
              <w:right w:val="single" w:sz="6" w:space="0" w:color="auto"/>
            </w:tcBorders>
          </w:tcPr>
          <w:p w14:paraId="0FD00BD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8,8</w:t>
            </w:r>
          </w:p>
        </w:tc>
        <w:tc>
          <w:tcPr>
            <w:tcW w:w="1132" w:type="dxa"/>
            <w:tcBorders>
              <w:top w:val="single" w:sz="6" w:space="0" w:color="auto"/>
              <w:left w:val="single" w:sz="6" w:space="0" w:color="auto"/>
              <w:bottom w:val="single" w:sz="6" w:space="0" w:color="auto"/>
              <w:right w:val="single" w:sz="6" w:space="0" w:color="auto"/>
            </w:tcBorders>
          </w:tcPr>
          <w:p w14:paraId="3B62636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9,2</w:t>
            </w:r>
          </w:p>
        </w:tc>
        <w:tc>
          <w:tcPr>
            <w:tcW w:w="1132" w:type="dxa"/>
            <w:tcBorders>
              <w:top w:val="single" w:sz="6" w:space="0" w:color="auto"/>
              <w:left w:val="single" w:sz="6" w:space="0" w:color="auto"/>
              <w:bottom w:val="single" w:sz="6" w:space="0" w:color="auto"/>
              <w:right w:val="single" w:sz="6" w:space="0" w:color="auto"/>
            </w:tcBorders>
          </w:tcPr>
          <w:p w14:paraId="488C911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3C0ADB6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D6A0AB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затворање: број на затворени претпријатија во референтниот период (т) поделен со бројот на претпријатија кои се активни во т (%)</w:t>
            </w:r>
          </w:p>
        </w:tc>
        <w:tc>
          <w:tcPr>
            <w:tcW w:w="752" w:type="dxa"/>
            <w:tcBorders>
              <w:top w:val="single" w:sz="6" w:space="0" w:color="auto"/>
              <w:left w:val="single" w:sz="6" w:space="0" w:color="auto"/>
              <w:bottom w:val="single" w:sz="6" w:space="0" w:color="auto"/>
              <w:right w:val="single" w:sz="6" w:space="0" w:color="auto"/>
            </w:tcBorders>
          </w:tcPr>
          <w:p w14:paraId="482A17A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1DB11B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11,4</w:t>
            </w:r>
          </w:p>
        </w:tc>
        <w:tc>
          <w:tcPr>
            <w:tcW w:w="1132" w:type="dxa"/>
            <w:tcBorders>
              <w:top w:val="single" w:sz="6" w:space="0" w:color="auto"/>
              <w:left w:val="single" w:sz="6" w:space="0" w:color="auto"/>
              <w:bottom w:val="single" w:sz="6" w:space="0" w:color="auto"/>
              <w:right w:val="single" w:sz="6" w:space="0" w:color="auto"/>
            </w:tcBorders>
          </w:tcPr>
          <w:p w14:paraId="1C43EA2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9,3</w:t>
            </w:r>
          </w:p>
        </w:tc>
        <w:tc>
          <w:tcPr>
            <w:tcW w:w="1132" w:type="dxa"/>
            <w:tcBorders>
              <w:top w:val="single" w:sz="6" w:space="0" w:color="auto"/>
              <w:left w:val="single" w:sz="6" w:space="0" w:color="auto"/>
              <w:bottom w:val="single" w:sz="6" w:space="0" w:color="auto"/>
              <w:right w:val="single" w:sz="6" w:space="0" w:color="auto"/>
            </w:tcBorders>
          </w:tcPr>
          <w:p w14:paraId="747AD55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7,7</w:t>
            </w:r>
          </w:p>
        </w:tc>
        <w:tc>
          <w:tcPr>
            <w:tcW w:w="1132" w:type="dxa"/>
            <w:tcBorders>
              <w:top w:val="single" w:sz="6" w:space="0" w:color="auto"/>
              <w:left w:val="single" w:sz="6" w:space="0" w:color="auto"/>
              <w:bottom w:val="single" w:sz="6" w:space="0" w:color="auto"/>
              <w:right w:val="single" w:sz="6" w:space="0" w:color="auto"/>
            </w:tcBorders>
          </w:tcPr>
          <w:p w14:paraId="2757A8D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6,8</w:t>
            </w:r>
          </w:p>
        </w:tc>
        <w:tc>
          <w:tcPr>
            <w:tcW w:w="1132" w:type="dxa"/>
            <w:tcBorders>
              <w:top w:val="single" w:sz="6" w:space="0" w:color="auto"/>
              <w:left w:val="single" w:sz="6" w:space="0" w:color="auto"/>
              <w:bottom w:val="single" w:sz="6" w:space="0" w:color="auto"/>
              <w:right w:val="single" w:sz="6" w:space="0" w:color="auto"/>
            </w:tcBorders>
          </w:tcPr>
          <w:p w14:paraId="68F56D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12,1</w:t>
            </w:r>
          </w:p>
        </w:tc>
        <w:tc>
          <w:tcPr>
            <w:tcW w:w="1132" w:type="dxa"/>
            <w:tcBorders>
              <w:top w:val="single" w:sz="6" w:space="0" w:color="auto"/>
              <w:left w:val="single" w:sz="6" w:space="0" w:color="auto"/>
              <w:bottom w:val="single" w:sz="6" w:space="0" w:color="auto"/>
              <w:right w:val="single" w:sz="6" w:space="0" w:color="auto"/>
            </w:tcBorders>
          </w:tcPr>
          <w:p w14:paraId="2A8499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49D52CA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790B06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Лица вработени во мали и средни претпријатија, како дел од сите вработени (во рамки на нефинансиската бизнис економија) (%)</w:t>
            </w:r>
          </w:p>
        </w:tc>
        <w:tc>
          <w:tcPr>
            <w:tcW w:w="752" w:type="dxa"/>
            <w:tcBorders>
              <w:top w:val="single" w:sz="6" w:space="0" w:color="auto"/>
              <w:left w:val="single" w:sz="6" w:space="0" w:color="auto"/>
              <w:bottom w:val="single" w:sz="6" w:space="0" w:color="auto"/>
              <w:right w:val="single" w:sz="6" w:space="0" w:color="auto"/>
            </w:tcBorders>
          </w:tcPr>
          <w:p w14:paraId="54CD188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B3369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76,0 sw</w:t>
            </w:r>
          </w:p>
        </w:tc>
        <w:tc>
          <w:tcPr>
            <w:tcW w:w="1132" w:type="dxa"/>
            <w:tcBorders>
              <w:top w:val="single" w:sz="6" w:space="0" w:color="auto"/>
              <w:left w:val="single" w:sz="6" w:space="0" w:color="auto"/>
              <w:bottom w:val="single" w:sz="6" w:space="0" w:color="auto"/>
              <w:right w:val="single" w:sz="6" w:space="0" w:color="auto"/>
            </w:tcBorders>
          </w:tcPr>
          <w:p w14:paraId="5E59DDD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75,4 sw</w:t>
            </w:r>
          </w:p>
        </w:tc>
        <w:tc>
          <w:tcPr>
            <w:tcW w:w="1132" w:type="dxa"/>
            <w:tcBorders>
              <w:top w:val="single" w:sz="6" w:space="0" w:color="auto"/>
              <w:left w:val="single" w:sz="6" w:space="0" w:color="auto"/>
              <w:bottom w:val="single" w:sz="6" w:space="0" w:color="auto"/>
              <w:right w:val="single" w:sz="6" w:space="0" w:color="auto"/>
            </w:tcBorders>
          </w:tcPr>
          <w:p w14:paraId="38A1862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74,3 sw</w:t>
            </w:r>
          </w:p>
        </w:tc>
        <w:tc>
          <w:tcPr>
            <w:tcW w:w="1132" w:type="dxa"/>
            <w:tcBorders>
              <w:top w:val="single" w:sz="6" w:space="0" w:color="auto"/>
              <w:left w:val="single" w:sz="6" w:space="0" w:color="auto"/>
              <w:bottom w:val="single" w:sz="6" w:space="0" w:color="auto"/>
              <w:right w:val="single" w:sz="6" w:space="0" w:color="auto"/>
            </w:tcBorders>
          </w:tcPr>
          <w:p w14:paraId="27A3A33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74,1 sw</w:t>
            </w:r>
          </w:p>
        </w:tc>
        <w:tc>
          <w:tcPr>
            <w:tcW w:w="1132" w:type="dxa"/>
            <w:tcBorders>
              <w:top w:val="single" w:sz="6" w:space="0" w:color="auto"/>
              <w:left w:val="single" w:sz="6" w:space="0" w:color="auto"/>
              <w:bottom w:val="single" w:sz="6" w:space="0" w:color="auto"/>
              <w:right w:val="single" w:sz="6" w:space="0" w:color="auto"/>
            </w:tcBorders>
          </w:tcPr>
          <w:p w14:paraId="4BB8444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73,7 sw</w:t>
            </w:r>
          </w:p>
        </w:tc>
        <w:tc>
          <w:tcPr>
            <w:tcW w:w="1132" w:type="dxa"/>
            <w:tcBorders>
              <w:top w:val="single" w:sz="6" w:space="0" w:color="auto"/>
              <w:left w:val="single" w:sz="6" w:space="0" w:color="auto"/>
              <w:bottom w:val="single" w:sz="6" w:space="0" w:color="auto"/>
              <w:right w:val="single" w:sz="6" w:space="0" w:color="auto"/>
            </w:tcBorders>
          </w:tcPr>
          <w:p w14:paraId="77210BF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449F902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21F747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Додадена вредност од малите и средни претпријатија (во нефинансиската бизнис економија) (во милиони евра)</w:t>
            </w:r>
          </w:p>
        </w:tc>
        <w:tc>
          <w:tcPr>
            <w:tcW w:w="752" w:type="dxa"/>
            <w:tcBorders>
              <w:top w:val="single" w:sz="6" w:space="0" w:color="auto"/>
              <w:left w:val="single" w:sz="6" w:space="0" w:color="auto"/>
              <w:bottom w:val="single" w:sz="6" w:space="0" w:color="auto"/>
              <w:right w:val="single" w:sz="6" w:space="0" w:color="auto"/>
            </w:tcBorders>
          </w:tcPr>
          <w:p w14:paraId="5BC3B2A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DA883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2.101 sw</w:t>
            </w:r>
          </w:p>
        </w:tc>
        <w:tc>
          <w:tcPr>
            <w:tcW w:w="1132" w:type="dxa"/>
            <w:tcBorders>
              <w:top w:val="single" w:sz="6" w:space="0" w:color="auto"/>
              <w:left w:val="single" w:sz="6" w:space="0" w:color="auto"/>
              <w:bottom w:val="single" w:sz="6" w:space="0" w:color="auto"/>
              <w:right w:val="single" w:sz="6" w:space="0" w:color="auto"/>
            </w:tcBorders>
          </w:tcPr>
          <w:p w14:paraId="44BE755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2.607 ps</w:t>
            </w:r>
          </w:p>
        </w:tc>
        <w:tc>
          <w:tcPr>
            <w:tcW w:w="1132" w:type="dxa"/>
            <w:tcBorders>
              <w:top w:val="single" w:sz="6" w:space="0" w:color="auto"/>
              <w:left w:val="single" w:sz="6" w:space="0" w:color="auto"/>
              <w:bottom w:val="single" w:sz="6" w:space="0" w:color="auto"/>
              <w:right w:val="single" w:sz="6" w:space="0" w:color="auto"/>
            </w:tcBorders>
          </w:tcPr>
          <w:p w14:paraId="59A8C32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2.698 sw</w:t>
            </w:r>
          </w:p>
        </w:tc>
        <w:tc>
          <w:tcPr>
            <w:tcW w:w="1132" w:type="dxa"/>
            <w:tcBorders>
              <w:top w:val="single" w:sz="6" w:space="0" w:color="auto"/>
              <w:left w:val="single" w:sz="6" w:space="0" w:color="auto"/>
              <w:bottom w:val="single" w:sz="6" w:space="0" w:color="auto"/>
              <w:right w:val="single" w:sz="6" w:space="0" w:color="auto"/>
            </w:tcBorders>
          </w:tcPr>
          <w:p w14:paraId="3A53979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2.895 sw</w:t>
            </w:r>
          </w:p>
        </w:tc>
        <w:tc>
          <w:tcPr>
            <w:tcW w:w="1132" w:type="dxa"/>
            <w:tcBorders>
              <w:top w:val="single" w:sz="6" w:space="0" w:color="auto"/>
              <w:left w:val="single" w:sz="6" w:space="0" w:color="auto"/>
              <w:bottom w:val="single" w:sz="6" w:space="0" w:color="auto"/>
              <w:right w:val="single" w:sz="6" w:space="0" w:color="auto"/>
            </w:tcBorders>
          </w:tcPr>
          <w:p w14:paraId="33EC6A2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3.215 s</w:t>
            </w:r>
          </w:p>
        </w:tc>
        <w:tc>
          <w:tcPr>
            <w:tcW w:w="1132" w:type="dxa"/>
            <w:tcBorders>
              <w:top w:val="single" w:sz="6" w:space="0" w:color="auto"/>
              <w:left w:val="single" w:sz="6" w:space="0" w:color="auto"/>
              <w:bottom w:val="single" w:sz="6" w:space="0" w:color="auto"/>
              <w:right w:val="single" w:sz="6" w:space="0" w:color="auto"/>
            </w:tcBorders>
          </w:tcPr>
          <w:p w14:paraId="0FB2422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55F3E8C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86B044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Вкупна додадена вредност (во нефинансиската бизнис економија) (во милиони евра)</w:t>
            </w:r>
          </w:p>
        </w:tc>
        <w:tc>
          <w:tcPr>
            <w:tcW w:w="752" w:type="dxa"/>
            <w:tcBorders>
              <w:top w:val="single" w:sz="6" w:space="0" w:color="auto"/>
              <w:left w:val="single" w:sz="6" w:space="0" w:color="auto"/>
              <w:bottom w:val="single" w:sz="6" w:space="0" w:color="auto"/>
              <w:right w:val="single" w:sz="6" w:space="0" w:color="auto"/>
            </w:tcBorders>
          </w:tcPr>
          <w:p w14:paraId="7C903A9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425678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3.343 w</w:t>
            </w:r>
          </w:p>
        </w:tc>
        <w:tc>
          <w:tcPr>
            <w:tcW w:w="1132" w:type="dxa"/>
            <w:tcBorders>
              <w:top w:val="single" w:sz="6" w:space="0" w:color="auto"/>
              <w:left w:val="single" w:sz="6" w:space="0" w:color="auto"/>
              <w:bottom w:val="single" w:sz="6" w:space="0" w:color="auto"/>
              <w:right w:val="single" w:sz="6" w:space="0" w:color="auto"/>
            </w:tcBorders>
          </w:tcPr>
          <w:p w14:paraId="6A02C09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4.031 p</w:t>
            </w:r>
          </w:p>
        </w:tc>
        <w:tc>
          <w:tcPr>
            <w:tcW w:w="1132" w:type="dxa"/>
            <w:tcBorders>
              <w:top w:val="single" w:sz="6" w:space="0" w:color="auto"/>
              <w:left w:val="single" w:sz="6" w:space="0" w:color="auto"/>
              <w:bottom w:val="single" w:sz="6" w:space="0" w:color="auto"/>
              <w:right w:val="single" w:sz="6" w:space="0" w:color="auto"/>
            </w:tcBorders>
          </w:tcPr>
          <w:p w14:paraId="06A2A94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4.252</w:t>
            </w:r>
          </w:p>
        </w:tc>
        <w:tc>
          <w:tcPr>
            <w:tcW w:w="1132" w:type="dxa"/>
            <w:tcBorders>
              <w:top w:val="single" w:sz="6" w:space="0" w:color="auto"/>
              <w:left w:val="single" w:sz="6" w:space="0" w:color="auto"/>
              <w:bottom w:val="single" w:sz="6" w:space="0" w:color="auto"/>
              <w:right w:val="single" w:sz="6" w:space="0" w:color="auto"/>
            </w:tcBorders>
          </w:tcPr>
          <w:p w14:paraId="29442B5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4.579</w:t>
            </w:r>
          </w:p>
        </w:tc>
        <w:tc>
          <w:tcPr>
            <w:tcW w:w="1132" w:type="dxa"/>
            <w:tcBorders>
              <w:top w:val="single" w:sz="6" w:space="0" w:color="auto"/>
              <w:left w:val="single" w:sz="6" w:space="0" w:color="auto"/>
              <w:bottom w:val="single" w:sz="6" w:space="0" w:color="auto"/>
              <w:right w:val="single" w:sz="6" w:space="0" w:color="auto"/>
            </w:tcBorders>
          </w:tcPr>
          <w:p w14:paraId="37402ED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4.878</w:t>
            </w:r>
          </w:p>
        </w:tc>
        <w:tc>
          <w:tcPr>
            <w:tcW w:w="1132" w:type="dxa"/>
            <w:tcBorders>
              <w:top w:val="single" w:sz="6" w:space="0" w:color="auto"/>
              <w:left w:val="single" w:sz="6" w:space="0" w:color="auto"/>
              <w:bottom w:val="single" w:sz="6" w:space="0" w:color="auto"/>
              <w:right w:val="single" w:sz="6" w:space="0" w:color="auto"/>
            </w:tcBorders>
          </w:tcPr>
          <w:p w14:paraId="3452578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4.575 w</w:t>
            </w:r>
          </w:p>
        </w:tc>
      </w:tr>
      <w:tr w:rsidR="003D4454" w:rsidRPr="00C9671E" w14:paraId="473AB1EC" w14:textId="77777777" w:rsidTr="00705B41">
        <w:trPr>
          <w:cantSplit/>
          <w:trHeight w:val="223"/>
        </w:trPr>
        <w:tc>
          <w:tcPr>
            <w:tcW w:w="6817" w:type="dxa"/>
            <w:tcBorders>
              <w:top w:val="nil"/>
              <w:left w:val="nil"/>
              <w:bottom w:val="nil"/>
              <w:right w:val="nil"/>
            </w:tcBorders>
          </w:tcPr>
          <w:p w14:paraId="0936BA6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139977D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0196D04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1C088C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24C56D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5AB866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050D46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7F182F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789E437E" w14:textId="77777777" w:rsidTr="00705B41">
        <w:trPr>
          <w:cantSplit/>
          <w:trHeight w:val="223"/>
        </w:trPr>
        <w:tc>
          <w:tcPr>
            <w:tcW w:w="6817" w:type="dxa"/>
            <w:tcBorders>
              <w:top w:val="nil"/>
              <w:left w:val="nil"/>
              <w:bottom w:val="nil"/>
              <w:right w:val="nil"/>
            </w:tcBorders>
          </w:tcPr>
          <w:p w14:paraId="31C891B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Стапка на инфлација и цени на куќи</w:t>
            </w:r>
          </w:p>
        </w:tc>
        <w:tc>
          <w:tcPr>
            <w:tcW w:w="752" w:type="dxa"/>
            <w:tcBorders>
              <w:top w:val="single" w:sz="6" w:space="0" w:color="auto"/>
              <w:left w:val="single" w:sz="6" w:space="0" w:color="auto"/>
              <w:bottom w:val="single" w:sz="6" w:space="0" w:color="auto"/>
              <w:right w:val="single" w:sz="6" w:space="0" w:color="auto"/>
            </w:tcBorders>
          </w:tcPr>
          <w:p w14:paraId="7689D67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20F48E2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60FE7DF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1E32E9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222C61B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1BADC5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7483A00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08DD9A8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A901FC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sz w:val="24"/>
                <w:szCs w:val="24"/>
              </w:rPr>
              <w:t>Усогласен индекс на потрошувачки цени (УИПЦ),</w:t>
            </w:r>
            <w:r w:rsidRPr="00C9671E">
              <w:rPr>
                <w:rFonts w:ascii="Times New Roman" w:hAnsi="Times New Roman" w:cs="Times New Roman"/>
                <w:color w:val="000000"/>
                <w:sz w:val="24"/>
                <w:szCs w:val="24"/>
              </w:rPr>
              <w:t>, промена во однос на претходната година (%)</w:t>
            </w:r>
          </w:p>
        </w:tc>
        <w:tc>
          <w:tcPr>
            <w:tcW w:w="752" w:type="dxa"/>
            <w:tcBorders>
              <w:top w:val="single" w:sz="6" w:space="0" w:color="auto"/>
              <w:left w:val="single" w:sz="6" w:space="0" w:color="auto"/>
              <w:bottom w:val="single" w:sz="6" w:space="0" w:color="auto"/>
              <w:right w:val="single" w:sz="6" w:space="0" w:color="auto"/>
            </w:tcBorders>
          </w:tcPr>
          <w:p w14:paraId="3620CC0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33FBFC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-0,1 d</w:t>
            </w:r>
          </w:p>
        </w:tc>
        <w:tc>
          <w:tcPr>
            <w:tcW w:w="1132" w:type="dxa"/>
            <w:tcBorders>
              <w:top w:val="single" w:sz="6" w:space="0" w:color="auto"/>
              <w:left w:val="single" w:sz="6" w:space="0" w:color="auto"/>
              <w:bottom w:val="single" w:sz="6" w:space="0" w:color="auto"/>
              <w:right w:val="single" w:sz="6" w:space="0" w:color="auto"/>
            </w:tcBorders>
          </w:tcPr>
          <w:p w14:paraId="5FACCE3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0,2 d</w:t>
            </w:r>
          </w:p>
        </w:tc>
        <w:tc>
          <w:tcPr>
            <w:tcW w:w="1132" w:type="dxa"/>
            <w:tcBorders>
              <w:top w:val="single" w:sz="6" w:space="0" w:color="auto"/>
              <w:left w:val="single" w:sz="6" w:space="0" w:color="auto"/>
              <w:bottom w:val="single" w:sz="6" w:space="0" w:color="auto"/>
              <w:right w:val="single" w:sz="6" w:space="0" w:color="auto"/>
            </w:tcBorders>
          </w:tcPr>
          <w:p w14:paraId="03710D0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 d</w:t>
            </w:r>
          </w:p>
        </w:tc>
        <w:tc>
          <w:tcPr>
            <w:tcW w:w="1132" w:type="dxa"/>
            <w:tcBorders>
              <w:top w:val="single" w:sz="6" w:space="0" w:color="auto"/>
              <w:left w:val="single" w:sz="6" w:space="0" w:color="auto"/>
              <w:bottom w:val="single" w:sz="6" w:space="0" w:color="auto"/>
              <w:right w:val="single" w:sz="6" w:space="0" w:color="auto"/>
            </w:tcBorders>
          </w:tcPr>
          <w:p w14:paraId="230D53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 d</w:t>
            </w:r>
          </w:p>
        </w:tc>
        <w:tc>
          <w:tcPr>
            <w:tcW w:w="1132" w:type="dxa"/>
            <w:tcBorders>
              <w:top w:val="single" w:sz="6" w:space="0" w:color="auto"/>
              <w:left w:val="single" w:sz="6" w:space="0" w:color="auto"/>
              <w:bottom w:val="single" w:sz="6" w:space="0" w:color="auto"/>
              <w:right w:val="single" w:sz="6" w:space="0" w:color="auto"/>
            </w:tcBorders>
          </w:tcPr>
          <w:p w14:paraId="513FC7A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0,7 d</w:t>
            </w:r>
          </w:p>
        </w:tc>
        <w:tc>
          <w:tcPr>
            <w:tcW w:w="1132" w:type="dxa"/>
            <w:tcBorders>
              <w:top w:val="single" w:sz="6" w:space="0" w:color="auto"/>
              <w:left w:val="single" w:sz="6" w:space="0" w:color="auto"/>
              <w:bottom w:val="single" w:sz="6" w:space="0" w:color="auto"/>
              <w:right w:val="single" w:sz="6" w:space="0" w:color="auto"/>
            </w:tcBorders>
          </w:tcPr>
          <w:p w14:paraId="16DBC9E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 d</w:t>
            </w:r>
          </w:p>
        </w:tc>
      </w:tr>
      <w:tr w:rsidR="003D4454" w:rsidRPr="00C9671E" w14:paraId="4355D85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87D1CC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**Годишна промена на намален индекс на цени на куќи (2015 = 100)</w:t>
            </w:r>
          </w:p>
        </w:tc>
        <w:tc>
          <w:tcPr>
            <w:tcW w:w="752" w:type="dxa"/>
            <w:tcBorders>
              <w:top w:val="single" w:sz="6" w:space="0" w:color="auto"/>
              <w:left w:val="single" w:sz="6" w:space="0" w:color="auto"/>
              <w:bottom w:val="single" w:sz="6" w:space="0" w:color="auto"/>
              <w:right w:val="single" w:sz="6" w:space="0" w:color="auto"/>
            </w:tcBorders>
          </w:tcPr>
          <w:p w14:paraId="32C6F1C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5369BE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B07349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E78AE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6C9D49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7ED51A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662B20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2CE6F145" w14:textId="77777777" w:rsidTr="00705B41">
        <w:trPr>
          <w:cantSplit/>
          <w:trHeight w:val="223"/>
        </w:trPr>
        <w:tc>
          <w:tcPr>
            <w:tcW w:w="6817" w:type="dxa"/>
            <w:tcBorders>
              <w:top w:val="nil"/>
              <w:left w:val="nil"/>
              <w:bottom w:val="nil"/>
              <w:right w:val="nil"/>
            </w:tcBorders>
          </w:tcPr>
          <w:p w14:paraId="4F597B3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36D8BF4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342DE50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FB7EAC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DB7893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51825D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A71D7D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C73433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3528FBD0" w14:textId="77777777" w:rsidTr="00705B41">
        <w:trPr>
          <w:cantSplit/>
          <w:trHeight w:val="223"/>
        </w:trPr>
        <w:tc>
          <w:tcPr>
            <w:tcW w:w="6817" w:type="dxa"/>
            <w:tcBorders>
              <w:top w:val="nil"/>
              <w:left w:val="nil"/>
              <w:bottom w:val="nil"/>
              <w:right w:val="nil"/>
            </w:tcBorders>
          </w:tcPr>
          <w:p w14:paraId="32C2BEC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Платен биланс</w:t>
            </w:r>
          </w:p>
        </w:tc>
        <w:tc>
          <w:tcPr>
            <w:tcW w:w="752" w:type="dxa"/>
            <w:tcBorders>
              <w:top w:val="single" w:sz="6" w:space="0" w:color="auto"/>
              <w:left w:val="single" w:sz="6" w:space="0" w:color="auto"/>
              <w:bottom w:val="single" w:sz="6" w:space="0" w:color="auto"/>
              <w:right w:val="single" w:sz="6" w:space="0" w:color="auto"/>
            </w:tcBorders>
          </w:tcPr>
          <w:p w14:paraId="741EBD6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5A54E6B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0623F3A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2C46A96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2DDDB18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2CF165F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43E14BE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575CF93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05124D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Платен биланс: тековна сметка вкупно (во милиони евра)</w:t>
            </w:r>
          </w:p>
        </w:tc>
        <w:tc>
          <w:tcPr>
            <w:tcW w:w="752" w:type="dxa"/>
            <w:tcBorders>
              <w:top w:val="single" w:sz="6" w:space="0" w:color="auto"/>
              <w:left w:val="single" w:sz="6" w:space="0" w:color="auto"/>
              <w:bottom w:val="single" w:sz="6" w:space="0" w:color="auto"/>
              <w:right w:val="single" w:sz="6" w:space="0" w:color="auto"/>
            </w:tcBorders>
          </w:tcPr>
          <w:p w14:paraId="43FE3FF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BE9B3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F979DD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- 275,5</w:t>
            </w:r>
          </w:p>
        </w:tc>
        <w:tc>
          <w:tcPr>
            <w:tcW w:w="1132" w:type="dxa"/>
            <w:tcBorders>
              <w:top w:val="single" w:sz="6" w:space="0" w:color="auto"/>
              <w:left w:val="single" w:sz="6" w:space="0" w:color="auto"/>
              <w:bottom w:val="single" w:sz="6" w:space="0" w:color="auto"/>
              <w:right w:val="single" w:sz="6" w:space="0" w:color="auto"/>
            </w:tcBorders>
          </w:tcPr>
          <w:p w14:paraId="168E72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- 102,9</w:t>
            </w:r>
          </w:p>
        </w:tc>
        <w:tc>
          <w:tcPr>
            <w:tcW w:w="1132" w:type="dxa"/>
            <w:tcBorders>
              <w:top w:val="single" w:sz="6" w:space="0" w:color="auto"/>
              <w:left w:val="single" w:sz="6" w:space="0" w:color="auto"/>
              <w:bottom w:val="single" w:sz="6" w:space="0" w:color="auto"/>
              <w:right w:val="single" w:sz="6" w:space="0" w:color="auto"/>
            </w:tcBorders>
          </w:tcPr>
          <w:p w14:paraId="71C02AD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- 7,1</w:t>
            </w:r>
          </w:p>
        </w:tc>
        <w:tc>
          <w:tcPr>
            <w:tcW w:w="1132" w:type="dxa"/>
            <w:tcBorders>
              <w:top w:val="single" w:sz="6" w:space="0" w:color="auto"/>
              <w:left w:val="single" w:sz="6" w:space="0" w:color="auto"/>
              <w:bottom w:val="single" w:sz="6" w:space="0" w:color="auto"/>
              <w:right w:val="single" w:sz="6" w:space="0" w:color="auto"/>
            </w:tcBorders>
          </w:tcPr>
          <w:p w14:paraId="7437DD1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- 368,3</w:t>
            </w:r>
          </w:p>
        </w:tc>
        <w:tc>
          <w:tcPr>
            <w:tcW w:w="1132" w:type="dxa"/>
            <w:tcBorders>
              <w:top w:val="single" w:sz="6" w:space="0" w:color="auto"/>
              <w:left w:val="single" w:sz="6" w:space="0" w:color="auto"/>
              <w:bottom w:val="single" w:sz="6" w:space="0" w:color="auto"/>
              <w:right w:val="single" w:sz="6" w:space="0" w:color="auto"/>
            </w:tcBorders>
          </w:tcPr>
          <w:p w14:paraId="1E2A49C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- 366,2</w:t>
            </w:r>
          </w:p>
        </w:tc>
      </w:tr>
      <w:tr w:rsidR="003D4454" w:rsidRPr="00C9671E" w14:paraId="353FA79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4D2578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Платен биланс тековна сметка: трговски биланс (во милиони евра)</w:t>
            </w:r>
          </w:p>
        </w:tc>
        <w:tc>
          <w:tcPr>
            <w:tcW w:w="752" w:type="dxa"/>
            <w:tcBorders>
              <w:top w:val="single" w:sz="6" w:space="0" w:color="auto"/>
              <w:left w:val="single" w:sz="6" w:space="0" w:color="auto"/>
              <w:bottom w:val="single" w:sz="6" w:space="0" w:color="auto"/>
              <w:right w:val="single" w:sz="6" w:space="0" w:color="auto"/>
            </w:tcBorders>
          </w:tcPr>
          <w:p w14:paraId="3473A82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4060A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6BA803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- 1.812,9</w:t>
            </w:r>
          </w:p>
        </w:tc>
        <w:tc>
          <w:tcPr>
            <w:tcW w:w="1132" w:type="dxa"/>
            <w:tcBorders>
              <w:top w:val="single" w:sz="6" w:space="0" w:color="auto"/>
              <w:left w:val="single" w:sz="6" w:space="0" w:color="auto"/>
              <w:bottom w:val="single" w:sz="6" w:space="0" w:color="auto"/>
              <w:right w:val="single" w:sz="6" w:space="0" w:color="auto"/>
            </w:tcBorders>
          </w:tcPr>
          <w:p w14:paraId="3BD4714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- 1.787,9</w:t>
            </w:r>
          </w:p>
        </w:tc>
        <w:tc>
          <w:tcPr>
            <w:tcW w:w="1132" w:type="dxa"/>
            <w:tcBorders>
              <w:top w:val="single" w:sz="6" w:space="0" w:color="auto"/>
              <w:left w:val="single" w:sz="6" w:space="0" w:color="auto"/>
              <w:bottom w:val="single" w:sz="6" w:space="0" w:color="auto"/>
              <w:right w:val="single" w:sz="6" w:space="0" w:color="auto"/>
            </w:tcBorders>
          </w:tcPr>
          <w:p w14:paraId="600A815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- 1.736,2</w:t>
            </w:r>
          </w:p>
        </w:tc>
        <w:tc>
          <w:tcPr>
            <w:tcW w:w="1132" w:type="dxa"/>
            <w:tcBorders>
              <w:top w:val="single" w:sz="6" w:space="0" w:color="auto"/>
              <w:left w:val="single" w:sz="6" w:space="0" w:color="auto"/>
              <w:bottom w:val="single" w:sz="6" w:space="0" w:color="auto"/>
              <w:right w:val="single" w:sz="6" w:space="0" w:color="auto"/>
            </w:tcBorders>
          </w:tcPr>
          <w:p w14:paraId="0E10CA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- 1.948,8</w:t>
            </w:r>
          </w:p>
        </w:tc>
        <w:tc>
          <w:tcPr>
            <w:tcW w:w="1132" w:type="dxa"/>
            <w:tcBorders>
              <w:top w:val="single" w:sz="6" w:space="0" w:color="auto"/>
              <w:left w:val="single" w:sz="6" w:space="0" w:color="auto"/>
              <w:bottom w:val="single" w:sz="6" w:space="0" w:color="auto"/>
              <w:right w:val="single" w:sz="6" w:space="0" w:color="auto"/>
            </w:tcBorders>
          </w:tcPr>
          <w:p w14:paraId="3537B5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- 1.804,7</w:t>
            </w:r>
          </w:p>
        </w:tc>
      </w:tr>
      <w:tr w:rsidR="003D4454" w:rsidRPr="00C9671E" w14:paraId="6E467B8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60E593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Платен биланс тековна сметка: нето-услуги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4F80DC9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D9B1EE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2FDC83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340,7</w:t>
            </w:r>
          </w:p>
        </w:tc>
        <w:tc>
          <w:tcPr>
            <w:tcW w:w="1132" w:type="dxa"/>
            <w:tcBorders>
              <w:top w:val="single" w:sz="6" w:space="0" w:color="auto"/>
              <w:left w:val="single" w:sz="6" w:space="0" w:color="auto"/>
              <w:bottom w:val="single" w:sz="6" w:space="0" w:color="auto"/>
              <w:right w:val="single" w:sz="6" w:space="0" w:color="auto"/>
            </w:tcBorders>
          </w:tcPr>
          <w:p w14:paraId="3CF7556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377,0</w:t>
            </w:r>
          </w:p>
        </w:tc>
        <w:tc>
          <w:tcPr>
            <w:tcW w:w="1132" w:type="dxa"/>
            <w:tcBorders>
              <w:top w:val="single" w:sz="6" w:space="0" w:color="auto"/>
              <w:left w:val="single" w:sz="6" w:space="0" w:color="auto"/>
              <w:bottom w:val="single" w:sz="6" w:space="0" w:color="auto"/>
              <w:right w:val="single" w:sz="6" w:space="0" w:color="auto"/>
            </w:tcBorders>
          </w:tcPr>
          <w:p w14:paraId="77932AD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370,9</w:t>
            </w:r>
          </w:p>
        </w:tc>
        <w:tc>
          <w:tcPr>
            <w:tcW w:w="1132" w:type="dxa"/>
            <w:tcBorders>
              <w:top w:val="single" w:sz="6" w:space="0" w:color="auto"/>
              <w:left w:val="single" w:sz="6" w:space="0" w:color="auto"/>
              <w:bottom w:val="single" w:sz="6" w:space="0" w:color="auto"/>
              <w:right w:val="single" w:sz="6" w:space="0" w:color="auto"/>
            </w:tcBorders>
          </w:tcPr>
          <w:p w14:paraId="63DED08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335,7</w:t>
            </w:r>
          </w:p>
        </w:tc>
        <w:tc>
          <w:tcPr>
            <w:tcW w:w="1132" w:type="dxa"/>
            <w:tcBorders>
              <w:top w:val="single" w:sz="6" w:space="0" w:color="auto"/>
              <w:left w:val="single" w:sz="6" w:space="0" w:color="auto"/>
              <w:bottom w:val="single" w:sz="6" w:space="0" w:color="auto"/>
              <w:right w:val="single" w:sz="6" w:space="0" w:color="auto"/>
            </w:tcBorders>
          </w:tcPr>
          <w:p w14:paraId="75F25F7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426,5</w:t>
            </w:r>
          </w:p>
        </w:tc>
      </w:tr>
      <w:tr w:rsidR="003D4454" w:rsidRPr="00C9671E" w14:paraId="032F2AC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0FDD59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Платен биланс тековна сметка: нето-биланс за примарен приход (во милиони евра)</w:t>
            </w:r>
          </w:p>
        </w:tc>
        <w:tc>
          <w:tcPr>
            <w:tcW w:w="752" w:type="dxa"/>
            <w:tcBorders>
              <w:top w:val="single" w:sz="6" w:space="0" w:color="auto"/>
              <w:left w:val="single" w:sz="6" w:space="0" w:color="auto"/>
              <w:bottom w:val="single" w:sz="6" w:space="0" w:color="auto"/>
              <w:right w:val="single" w:sz="6" w:space="0" w:color="auto"/>
            </w:tcBorders>
          </w:tcPr>
          <w:p w14:paraId="44F6E85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F3BB16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010F8C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-383,9</w:t>
            </w:r>
          </w:p>
        </w:tc>
        <w:tc>
          <w:tcPr>
            <w:tcW w:w="1132" w:type="dxa"/>
            <w:tcBorders>
              <w:top w:val="single" w:sz="6" w:space="0" w:color="auto"/>
              <w:left w:val="single" w:sz="6" w:space="0" w:color="auto"/>
              <w:bottom w:val="single" w:sz="6" w:space="0" w:color="auto"/>
              <w:right w:val="single" w:sz="6" w:space="0" w:color="auto"/>
            </w:tcBorders>
          </w:tcPr>
          <w:p w14:paraId="6624037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-397,5</w:t>
            </w:r>
          </w:p>
        </w:tc>
        <w:tc>
          <w:tcPr>
            <w:tcW w:w="1132" w:type="dxa"/>
            <w:tcBorders>
              <w:top w:val="single" w:sz="6" w:space="0" w:color="auto"/>
              <w:left w:val="single" w:sz="6" w:space="0" w:color="auto"/>
              <w:bottom w:val="single" w:sz="6" w:space="0" w:color="auto"/>
              <w:right w:val="single" w:sz="6" w:space="0" w:color="auto"/>
            </w:tcBorders>
          </w:tcPr>
          <w:p w14:paraId="0EA6CA8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-450,7</w:t>
            </w:r>
          </w:p>
        </w:tc>
        <w:tc>
          <w:tcPr>
            <w:tcW w:w="1132" w:type="dxa"/>
            <w:tcBorders>
              <w:top w:val="single" w:sz="6" w:space="0" w:color="auto"/>
              <w:left w:val="single" w:sz="6" w:space="0" w:color="auto"/>
              <w:bottom w:val="single" w:sz="6" w:space="0" w:color="auto"/>
              <w:right w:val="single" w:sz="6" w:space="0" w:color="auto"/>
            </w:tcBorders>
          </w:tcPr>
          <w:p w14:paraId="2FB430A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-519,6</w:t>
            </w:r>
          </w:p>
        </w:tc>
        <w:tc>
          <w:tcPr>
            <w:tcW w:w="1132" w:type="dxa"/>
            <w:tcBorders>
              <w:top w:val="single" w:sz="6" w:space="0" w:color="auto"/>
              <w:left w:val="single" w:sz="6" w:space="0" w:color="auto"/>
              <w:bottom w:val="single" w:sz="6" w:space="0" w:color="auto"/>
              <w:right w:val="single" w:sz="6" w:space="0" w:color="auto"/>
            </w:tcBorders>
          </w:tcPr>
          <w:p w14:paraId="2EBC26F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-411,5</w:t>
            </w:r>
          </w:p>
        </w:tc>
      </w:tr>
      <w:tr w:rsidR="003D4454" w:rsidRPr="00C9671E" w14:paraId="6A02352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388900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Платен биланс тековна сметка: нето-биланс за секундарен приход (во милиони евра)</w:t>
            </w:r>
          </w:p>
        </w:tc>
        <w:tc>
          <w:tcPr>
            <w:tcW w:w="752" w:type="dxa"/>
            <w:tcBorders>
              <w:top w:val="single" w:sz="6" w:space="0" w:color="auto"/>
              <w:left w:val="single" w:sz="6" w:space="0" w:color="auto"/>
              <w:bottom w:val="single" w:sz="6" w:space="0" w:color="auto"/>
              <w:right w:val="single" w:sz="6" w:space="0" w:color="auto"/>
            </w:tcBorders>
          </w:tcPr>
          <w:p w14:paraId="690A027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00D2FE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4F36BE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1.580,6</w:t>
            </w:r>
          </w:p>
        </w:tc>
        <w:tc>
          <w:tcPr>
            <w:tcW w:w="1132" w:type="dxa"/>
            <w:tcBorders>
              <w:top w:val="single" w:sz="6" w:space="0" w:color="auto"/>
              <w:left w:val="single" w:sz="6" w:space="0" w:color="auto"/>
              <w:bottom w:val="single" w:sz="6" w:space="0" w:color="auto"/>
              <w:right w:val="single" w:sz="6" w:space="0" w:color="auto"/>
            </w:tcBorders>
          </w:tcPr>
          <w:p w14:paraId="197EBB6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1.705,6</w:t>
            </w:r>
          </w:p>
        </w:tc>
        <w:tc>
          <w:tcPr>
            <w:tcW w:w="1132" w:type="dxa"/>
            <w:tcBorders>
              <w:top w:val="single" w:sz="6" w:space="0" w:color="auto"/>
              <w:left w:val="single" w:sz="6" w:space="0" w:color="auto"/>
              <w:bottom w:val="single" w:sz="6" w:space="0" w:color="auto"/>
              <w:right w:val="single" w:sz="6" w:space="0" w:color="auto"/>
            </w:tcBorders>
          </w:tcPr>
          <w:p w14:paraId="2DE94E3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1.808,9</w:t>
            </w:r>
          </w:p>
        </w:tc>
        <w:tc>
          <w:tcPr>
            <w:tcW w:w="1132" w:type="dxa"/>
            <w:tcBorders>
              <w:top w:val="single" w:sz="6" w:space="0" w:color="auto"/>
              <w:left w:val="single" w:sz="6" w:space="0" w:color="auto"/>
              <w:bottom w:val="single" w:sz="6" w:space="0" w:color="auto"/>
              <w:right w:val="single" w:sz="6" w:space="0" w:color="auto"/>
            </w:tcBorders>
          </w:tcPr>
          <w:p w14:paraId="6A6B6DD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1.764,4</w:t>
            </w:r>
          </w:p>
        </w:tc>
        <w:tc>
          <w:tcPr>
            <w:tcW w:w="1132" w:type="dxa"/>
            <w:tcBorders>
              <w:top w:val="single" w:sz="6" w:space="0" w:color="auto"/>
              <w:left w:val="single" w:sz="6" w:space="0" w:color="auto"/>
              <w:bottom w:val="single" w:sz="6" w:space="0" w:color="auto"/>
              <w:right w:val="single" w:sz="6" w:space="0" w:color="auto"/>
            </w:tcBorders>
          </w:tcPr>
          <w:p w14:paraId="366209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1.423,4</w:t>
            </w:r>
          </w:p>
        </w:tc>
      </w:tr>
      <w:tr w:rsidR="003D4454" w:rsidRPr="00C9671E" w14:paraId="3195ADA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1BDF58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Нето-биланс за примарен и секундарен приход: од кои владини трансфери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1F82210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E38E3B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785318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90,8</w:t>
            </w:r>
          </w:p>
        </w:tc>
        <w:tc>
          <w:tcPr>
            <w:tcW w:w="1132" w:type="dxa"/>
            <w:tcBorders>
              <w:top w:val="single" w:sz="6" w:space="0" w:color="auto"/>
              <w:left w:val="single" w:sz="6" w:space="0" w:color="auto"/>
              <w:bottom w:val="single" w:sz="6" w:space="0" w:color="auto"/>
              <w:right w:val="single" w:sz="6" w:space="0" w:color="auto"/>
            </w:tcBorders>
          </w:tcPr>
          <w:p w14:paraId="5BCA1BE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112,8</w:t>
            </w:r>
          </w:p>
        </w:tc>
        <w:tc>
          <w:tcPr>
            <w:tcW w:w="1132" w:type="dxa"/>
            <w:tcBorders>
              <w:top w:val="single" w:sz="6" w:space="0" w:color="auto"/>
              <w:left w:val="single" w:sz="6" w:space="0" w:color="auto"/>
              <w:bottom w:val="single" w:sz="6" w:space="0" w:color="auto"/>
              <w:right w:val="single" w:sz="6" w:space="0" w:color="auto"/>
            </w:tcBorders>
          </w:tcPr>
          <w:p w14:paraId="739C48A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109,1</w:t>
            </w:r>
          </w:p>
        </w:tc>
        <w:tc>
          <w:tcPr>
            <w:tcW w:w="1132" w:type="dxa"/>
            <w:tcBorders>
              <w:top w:val="single" w:sz="6" w:space="0" w:color="auto"/>
              <w:left w:val="single" w:sz="6" w:space="0" w:color="auto"/>
              <w:bottom w:val="single" w:sz="6" w:space="0" w:color="auto"/>
              <w:right w:val="single" w:sz="6" w:space="0" w:color="auto"/>
            </w:tcBorders>
          </w:tcPr>
          <w:p w14:paraId="4D9CE8B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43,2</w:t>
            </w:r>
          </w:p>
        </w:tc>
        <w:tc>
          <w:tcPr>
            <w:tcW w:w="1132" w:type="dxa"/>
            <w:tcBorders>
              <w:top w:val="single" w:sz="6" w:space="0" w:color="auto"/>
              <w:left w:val="single" w:sz="6" w:space="0" w:color="auto"/>
              <w:bottom w:val="single" w:sz="6" w:space="0" w:color="auto"/>
              <w:right w:val="single" w:sz="6" w:space="0" w:color="auto"/>
            </w:tcBorders>
          </w:tcPr>
          <w:p w14:paraId="1797B20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110,0</w:t>
            </w:r>
          </w:p>
        </w:tc>
      </w:tr>
      <w:tr w:rsidR="003D4454" w:rsidRPr="00C9671E" w14:paraId="464B526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634BEB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**Тригодишно назадување на просекот на билансот на тековната сметка во однос на БДП (%)</w:t>
            </w:r>
          </w:p>
        </w:tc>
        <w:tc>
          <w:tcPr>
            <w:tcW w:w="752" w:type="dxa"/>
            <w:tcBorders>
              <w:top w:val="single" w:sz="6" w:space="0" w:color="auto"/>
              <w:left w:val="single" w:sz="6" w:space="0" w:color="auto"/>
              <w:bottom w:val="single" w:sz="6" w:space="0" w:color="auto"/>
              <w:right w:val="single" w:sz="6" w:space="0" w:color="auto"/>
            </w:tcBorders>
          </w:tcPr>
          <w:p w14:paraId="4084FF1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93A1CC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56F8DF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w:t>
            </w:r>
          </w:p>
        </w:tc>
        <w:tc>
          <w:tcPr>
            <w:tcW w:w="1132" w:type="dxa"/>
            <w:tcBorders>
              <w:top w:val="single" w:sz="6" w:space="0" w:color="auto"/>
              <w:left w:val="single" w:sz="6" w:space="0" w:color="auto"/>
              <w:bottom w:val="single" w:sz="6" w:space="0" w:color="auto"/>
              <w:right w:val="single" w:sz="6" w:space="0" w:color="auto"/>
            </w:tcBorders>
          </w:tcPr>
          <w:p w14:paraId="33A6C82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w:t>
            </w:r>
          </w:p>
        </w:tc>
        <w:tc>
          <w:tcPr>
            <w:tcW w:w="1132" w:type="dxa"/>
            <w:tcBorders>
              <w:top w:val="single" w:sz="6" w:space="0" w:color="auto"/>
              <w:left w:val="single" w:sz="6" w:space="0" w:color="auto"/>
              <w:bottom w:val="single" w:sz="6" w:space="0" w:color="auto"/>
              <w:right w:val="single" w:sz="6" w:space="0" w:color="auto"/>
            </w:tcBorders>
          </w:tcPr>
          <w:p w14:paraId="20593E3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w:t>
            </w:r>
          </w:p>
        </w:tc>
        <w:tc>
          <w:tcPr>
            <w:tcW w:w="1132" w:type="dxa"/>
            <w:tcBorders>
              <w:top w:val="single" w:sz="6" w:space="0" w:color="auto"/>
              <w:left w:val="single" w:sz="6" w:space="0" w:color="auto"/>
              <w:bottom w:val="single" w:sz="6" w:space="0" w:color="auto"/>
              <w:right w:val="single" w:sz="6" w:space="0" w:color="auto"/>
            </w:tcBorders>
          </w:tcPr>
          <w:p w14:paraId="1AB460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w:t>
            </w:r>
          </w:p>
        </w:tc>
        <w:tc>
          <w:tcPr>
            <w:tcW w:w="1132" w:type="dxa"/>
            <w:tcBorders>
              <w:top w:val="single" w:sz="6" w:space="0" w:color="auto"/>
              <w:left w:val="single" w:sz="6" w:space="0" w:color="auto"/>
              <w:bottom w:val="single" w:sz="6" w:space="0" w:color="auto"/>
              <w:right w:val="single" w:sz="6" w:space="0" w:color="auto"/>
            </w:tcBorders>
          </w:tcPr>
          <w:p w14:paraId="14E23D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w:t>
            </w:r>
          </w:p>
        </w:tc>
      </w:tr>
      <w:tr w:rsidR="003D4454" w:rsidRPr="00C9671E" w14:paraId="6BBDA08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2A57A6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**Петгодишна промена на уделот на светскиот извоз на стоки и услуги (%)</w:t>
            </w:r>
          </w:p>
        </w:tc>
        <w:tc>
          <w:tcPr>
            <w:tcW w:w="752" w:type="dxa"/>
            <w:tcBorders>
              <w:top w:val="single" w:sz="6" w:space="0" w:color="auto"/>
              <w:left w:val="single" w:sz="6" w:space="0" w:color="auto"/>
              <w:bottom w:val="single" w:sz="6" w:space="0" w:color="auto"/>
              <w:right w:val="single" w:sz="6" w:space="0" w:color="auto"/>
            </w:tcBorders>
          </w:tcPr>
          <w:p w14:paraId="3156CA9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69A5F92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F53931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22,2</w:t>
            </w:r>
          </w:p>
        </w:tc>
        <w:tc>
          <w:tcPr>
            <w:tcW w:w="1132" w:type="dxa"/>
            <w:tcBorders>
              <w:top w:val="single" w:sz="6" w:space="0" w:color="auto"/>
              <w:left w:val="single" w:sz="6" w:space="0" w:color="auto"/>
              <w:bottom w:val="single" w:sz="6" w:space="0" w:color="auto"/>
              <w:right w:val="single" w:sz="6" w:space="0" w:color="auto"/>
            </w:tcBorders>
          </w:tcPr>
          <w:p w14:paraId="643F08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42,0</w:t>
            </w:r>
          </w:p>
        </w:tc>
        <w:tc>
          <w:tcPr>
            <w:tcW w:w="1132" w:type="dxa"/>
            <w:tcBorders>
              <w:top w:val="single" w:sz="6" w:space="0" w:color="auto"/>
              <w:left w:val="single" w:sz="6" w:space="0" w:color="auto"/>
              <w:bottom w:val="single" w:sz="6" w:space="0" w:color="auto"/>
              <w:right w:val="single" w:sz="6" w:space="0" w:color="auto"/>
            </w:tcBorders>
          </w:tcPr>
          <w:p w14:paraId="613D234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51,6</w:t>
            </w:r>
          </w:p>
        </w:tc>
        <w:tc>
          <w:tcPr>
            <w:tcW w:w="1132" w:type="dxa"/>
            <w:tcBorders>
              <w:top w:val="single" w:sz="6" w:space="0" w:color="auto"/>
              <w:left w:val="single" w:sz="6" w:space="0" w:color="auto"/>
              <w:bottom w:val="single" w:sz="6" w:space="0" w:color="auto"/>
              <w:right w:val="single" w:sz="6" w:space="0" w:color="auto"/>
            </w:tcBorders>
          </w:tcPr>
          <w:p w14:paraId="017F1E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39,8</w:t>
            </w:r>
          </w:p>
        </w:tc>
        <w:tc>
          <w:tcPr>
            <w:tcW w:w="1132" w:type="dxa"/>
            <w:tcBorders>
              <w:top w:val="single" w:sz="6" w:space="0" w:color="auto"/>
              <w:left w:val="single" w:sz="6" w:space="0" w:color="auto"/>
              <w:bottom w:val="single" w:sz="6" w:space="0" w:color="auto"/>
              <w:right w:val="single" w:sz="6" w:space="0" w:color="auto"/>
            </w:tcBorders>
          </w:tcPr>
          <w:p w14:paraId="04BD42F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38,4</w:t>
            </w:r>
          </w:p>
        </w:tc>
      </w:tr>
      <w:tr w:rsidR="003D4454" w:rsidRPr="00C9671E" w14:paraId="60C44C1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4C4D20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Нето-биланс (влезен-излезен) на странски директни инвестиции (СДИ)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6DBAA69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C96E53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136,9 w</w:t>
            </w:r>
          </w:p>
        </w:tc>
        <w:tc>
          <w:tcPr>
            <w:tcW w:w="1132" w:type="dxa"/>
            <w:tcBorders>
              <w:top w:val="single" w:sz="6" w:space="0" w:color="auto"/>
              <w:left w:val="single" w:sz="6" w:space="0" w:color="auto"/>
              <w:bottom w:val="single" w:sz="6" w:space="0" w:color="auto"/>
              <w:right w:val="single" w:sz="6" w:space="0" w:color="auto"/>
            </w:tcBorders>
          </w:tcPr>
          <w:p w14:paraId="33E39B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316,9 w</w:t>
            </w:r>
          </w:p>
        </w:tc>
        <w:tc>
          <w:tcPr>
            <w:tcW w:w="1132" w:type="dxa"/>
            <w:tcBorders>
              <w:top w:val="single" w:sz="6" w:space="0" w:color="auto"/>
              <w:left w:val="single" w:sz="6" w:space="0" w:color="auto"/>
              <w:bottom w:val="single" w:sz="6" w:space="0" w:color="auto"/>
              <w:right w:val="single" w:sz="6" w:space="0" w:color="auto"/>
            </w:tcBorders>
          </w:tcPr>
          <w:p w14:paraId="3DC91D7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180,0 w</w:t>
            </w:r>
          </w:p>
        </w:tc>
        <w:tc>
          <w:tcPr>
            <w:tcW w:w="1132" w:type="dxa"/>
            <w:tcBorders>
              <w:top w:val="single" w:sz="6" w:space="0" w:color="auto"/>
              <w:left w:val="single" w:sz="6" w:space="0" w:color="auto"/>
              <w:bottom w:val="single" w:sz="6" w:space="0" w:color="auto"/>
              <w:right w:val="single" w:sz="6" w:space="0" w:color="auto"/>
            </w:tcBorders>
          </w:tcPr>
          <w:p w14:paraId="677CC8F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603,7 w</w:t>
            </w:r>
          </w:p>
        </w:tc>
        <w:tc>
          <w:tcPr>
            <w:tcW w:w="1132" w:type="dxa"/>
            <w:tcBorders>
              <w:top w:val="single" w:sz="6" w:space="0" w:color="auto"/>
              <w:left w:val="single" w:sz="6" w:space="0" w:color="auto"/>
              <w:bottom w:val="single" w:sz="6" w:space="0" w:color="auto"/>
              <w:right w:val="single" w:sz="6" w:space="0" w:color="auto"/>
            </w:tcBorders>
          </w:tcPr>
          <w:p w14:paraId="3937221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363,3 w</w:t>
            </w:r>
          </w:p>
        </w:tc>
        <w:tc>
          <w:tcPr>
            <w:tcW w:w="1132" w:type="dxa"/>
            <w:tcBorders>
              <w:top w:val="single" w:sz="6" w:space="0" w:color="auto"/>
              <w:left w:val="single" w:sz="6" w:space="0" w:color="auto"/>
              <w:bottom w:val="single" w:sz="6" w:space="0" w:color="auto"/>
              <w:right w:val="single" w:sz="6" w:space="0" w:color="auto"/>
            </w:tcBorders>
          </w:tcPr>
          <w:p w14:paraId="1323D58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154,7 w</w:t>
            </w:r>
          </w:p>
        </w:tc>
      </w:tr>
      <w:tr w:rsidR="003D4454" w:rsidRPr="00C9671E" w14:paraId="3F77A73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5A85F0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Странски директни инвестиции (СДИ) во странство (во милиони евра)</w:t>
            </w:r>
          </w:p>
        </w:tc>
        <w:tc>
          <w:tcPr>
            <w:tcW w:w="752" w:type="dxa"/>
            <w:tcBorders>
              <w:top w:val="single" w:sz="6" w:space="0" w:color="auto"/>
              <w:left w:val="single" w:sz="6" w:space="0" w:color="auto"/>
              <w:bottom w:val="single" w:sz="6" w:space="0" w:color="auto"/>
              <w:right w:val="single" w:sz="6" w:space="0" w:color="auto"/>
            </w:tcBorders>
          </w:tcPr>
          <w:p w14:paraId="07528AB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4A0CCB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8,1 w</w:t>
            </w:r>
          </w:p>
        </w:tc>
        <w:tc>
          <w:tcPr>
            <w:tcW w:w="1132" w:type="dxa"/>
            <w:tcBorders>
              <w:top w:val="single" w:sz="6" w:space="0" w:color="auto"/>
              <w:left w:val="single" w:sz="6" w:space="0" w:color="auto"/>
              <w:bottom w:val="single" w:sz="6" w:space="0" w:color="auto"/>
              <w:right w:val="single" w:sz="6" w:space="0" w:color="auto"/>
            </w:tcBorders>
          </w:tcPr>
          <w:p w14:paraId="27DAB62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21,6 w</w:t>
            </w:r>
          </w:p>
        </w:tc>
        <w:tc>
          <w:tcPr>
            <w:tcW w:w="1132" w:type="dxa"/>
            <w:tcBorders>
              <w:top w:val="single" w:sz="6" w:space="0" w:color="auto"/>
              <w:left w:val="single" w:sz="6" w:space="0" w:color="auto"/>
              <w:bottom w:val="single" w:sz="6" w:space="0" w:color="auto"/>
              <w:right w:val="single" w:sz="6" w:space="0" w:color="auto"/>
            </w:tcBorders>
          </w:tcPr>
          <w:p w14:paraId="0C8B44C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 w</w:t>
            </w:r>
          </w:p>
        </w:tc>
        <w:tc>
          <w:tcPr>
            <w:tcW w:w="1132" w:type="dxa"/>
            <w:tcBorders>
              <w:top w:val="single" w:sz="6" w:space="0" w:color="auto"/>
              <w:left w:val="single" w:sz="6" w:space="0" w:color="auto"/>
              <w:bottom w:val="single" w:sz="6" w:space="0" w:color="auto"/>
              <w:right w:val="single" w:sz="6" w:space="0" w:color="auto"/>
            </w:tcBorders>
          </w:tcPr>
          <w:p w14:paraId="55D924E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10,4 w</w:t>
            </w:r>
          </w:p>
        </w:tc>
        <w:tc>
          <w:tcPr>
            <w:tcW w:w="1132" w:type="dxa"/>
            <w:tcBorders>
              <w:top w:val="single" w:sz="6" w:space="0" w:color="auto"/>
              <w:left w:val="single" w:sz="6" w:space="0" w:color="auto"/>
              <w:bottom w:val="single" w:sz="6" w:space="0" w:color="auto"/>
              <w:right w:val="single" w:sz="6" w:space="0" w:color="auto"/>
            </w:tcBorders>
          </w:tcPr>
          <w:p w14:paraId="0669CA1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35,5 w</w:t>
            </w:r>
          </w:p>
        </w:tc>
        <w:tc>
          <w:tcPr>
            <w:tcW w:w="1132" w:type="dxa"/>
            <w:tcBorders>
              <w:top w:val="single" w:sz="6" w:space="0" w:color="auto"/>
              <w:left w:val="single" w:sz="6" w:space="0" w:color="auto"/>
              <w:bottom w:val="single" w:sz="6" w:space="0" w:color="auto"/>
              <w:right w:val="single" w:sz="6" w:space="0" w:color="auto"/>
            </w:tcBorders>
          </w:tcPr>
          <w:p w14:paraId="237AF78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46,7 w</w:t>
            </w:r>
          </w:p>
        </w:tc>
      </w:tr>
      <w:tr w:rsidR="003D4454" w:rsidRPr="00C9671E" w14:paraId="6D70548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C572F1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од кои СДИ на економијата за која се известува во земјите од ЕУ-27 (во милиони евра)</w:t>
            </w:r>
          </w:p>
        </w:tc>
        <w:tc>
          <w:tcPr>
            <w:tcW w:w="752" w:type="dxa"/>
            <w:tcBorders>
              <w:top w:val="single" w:sz="6" w:space="0" w:color="auto"/>
              <w:left w:val="single" w:sz="6" w:space="0" w:color="auto"/>
              <w:bottom w:val="single" w:sz="6" w:space="0" w:color="auto"/>
              <w:right w:val="single" w:sz="6" w:space="0" w:color="auto"/>
            </w:tcBorders>
          </w:tcPr>
          <w:p w14:paraId="67B6691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BEA41D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4ECAE9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13,6 w</w:t>
            </w:r>
          </w:p>
        </w:tc>
        <w:tc>
          <w:tcPr>
            <w:tcW w:w="1132" w:type="dxa"/>
            <w:tcBorders>
              <w:top w:val="single" w:sz="6" w:space="0" w:color="auto"/>
              <w:left w:val="single" w:sz="6" w:space="0" w:color="auto"/>
              <w:bottom w:val="single" w:sz="6" w:space="0" w:color="auto"/>
              <w:right w:val="single" w:sz="6" w:space="0" w:color="auto"/>
            </w:tcBorders>
          </w:tcPr>
          <w:p w14:paraId="46F1EC3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 w</w:t>
            </w:r>
          </w:p>
        </w:tc>
        <w:tc>
          <w:tcPr>
            <w:tcW w:w="1132" w:type="dxa"/>
            <w:tcBorders>
              <w:top w:val="single" w:sz="6" w:space="0" w:color="auto"/>
              <w:left w:val="single" w:sz="6" w:space="0" w:color="auto"/>
              <w:bottom w:val="single" w:sz="6" w:space="0" w:color="auto"/>
              <w:right w:val="single" w:sz="6" w:space="0" w:color="auto"/>
            </w:tcBorders>
          </w:tcPr>
          <w:p w14:paraId="4A00816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0,4</w:t>
            </w:r>
          </w:p>
        </w:tc>
        <w:tc>
          <w:tcPr>
            <w:tcW w:w="1132" w:type="dxa"/>
            <w:tcBorders>
              <w:top w:val="single" w:sz="6" w:space="0" w:color="auto"/>
              <w:left w:val="single" w:sz="6" w:space="0" w:color="auto"/>
              <w:bottom w:val="single" w:sz="6" w:space="0" w:color="auto"/>
              <w:right w:val="single" w:sz="6" w:space="0" w:color="auto"/>
            </w:tcBorders>
          </w:tcPr>
          <w:p w14:paraId="107225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27,2</w:t>
            </w:r>
          </w:p>
        </w:tc>
        <w:tc>
          <w:tcPr>
            <w:tcW w:w="1132" w:type="dxa"/>
            <w:tcBorders>
              <w:top w:val="single" w:sz="6" w:space="0" w:color="auto"/>
              <w:left w:val="single" w:sz="6" w:space="0" w:color="auto"/>
              <w:bottom w:val="single" w:sz="6" w:space="0" w:color="auto"/>
              <w:right w:val="single" w:sz="6" w:space="0" w:color="auto"/>
            </w:tcBorders>
          </w:tcPr>
          <w:p w14:paraId="060E4B6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31,3 w</w:t>
            </w:r>
          </w:p>
        </w:tc>
      </w:tr>
      <w:tr w:rsidR="003D4454" w:rsidRPr="00C9671E" w14:paraId="6B5A249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966FD1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Странски директни инвестиции (ФДИ) во економијата за која се известува (во милиони евра)</w:t>
            </w:r>
          </w:p>
        </w:tc>
        <w:tc>
          <w:tcPr>
            <w:tcW w:w="752" w:type="dxa"/>
            <w:tcBorders>
              <w:top w:val="single" w:sz="6" w:space="0" w:color="auto"/>
              <w:left w:val="single" w:sz="6" w:space="0" w:color="auto"/>
              <w:bottom w:val="single" w:sz="6" w:space="0" w:color="auto"/>
              <w:right w:val="single" w:sz="6" w:space="0" w:color="auto"/>
            </w:tcBorders>
          </w:tcPr>
          <w:p w14:paraId="4F08D4A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0D27D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145,0 w</w:t>
            </w:r>
          </w:p>
        </w:tc>
        <w:tc>
          <w:tcPr>
            <w:tcW w:w="1132" w:type="dxa"/>
            <w:tcBorders>
              <w:top w:val="single" w:sz="6" w:space="0" w:color="auto"/>
              <w:left w:val="single" w:sz="6" w:space="0" w:color="auto"/>
              <w:bottom w:val="single" w:sz="6" w:space="0" w:color="auto"/>
              <w:right w:val="single" w:sz="6" w:space="0" w:color="auto"/>
            </w:tcBorders>
          </w:tcPr>
          <w:p w14:paraId="462A727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338,4 w</w:t>
            </w:r>
          </w:p>
        </w:tc>
        <w:tc>
          <w:tcPr>
            <w:tcW w:w="1132" w:type="dxa"/>
            <w:tcBorders>
              <w:top w:val="single" w:sz="6" w:space="0" w:color="auto"/>
              <w:left w:val="single" w:sz="6" w:space="0" w:color="auto"/>
              <w:bottom w:val="single" w:sz="6" w:space="0" w:color="auto"/>
              <w:right w:val="single" w:sz="6" w:space="0" w:color="auto"/>
            </w:tcBorders>
          </w:tcPr>
          <w:p w14:paraId="6576051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181,7 w</w:t>
            </w:r>
          </w:p>
        </w:tc>
        <w:tc>
          <w:tcPr>
            <w:tcW w:w="1132" w:type="dxa"/>
            <w:tcBorders>
              <w:top w:val="single" w:sz="6" w:space="0" w:color="auto"/>
              <w:left w:val="single" w:sz="6" w:space="0" w:color="auto"/>
              <w:bottom w:val="single" w:sz="6" w:space="0" w:color="auto"/>
              <w:right w:val="single" w:sz="6" w:space="0" w:color="auto"/>
            </w:tcBorders>
          </w:tcPr>
          <w:p w14:paraId="7BAD1BB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614,1 w</w:t>
            </w:r>
          </w:p>
        </w:tc>
        <w:tc>
          <w:tcPr>
            <w:tcW w:w="1132" w:type="dxa"/>
            <w:tcBorders>
              <w:top w:val="single" w:sz="6" w:space="0" w:color="auto"/>
              <w:left w:val="single" w:sz="6" w:space="0" w:color="auto"/>
              <w:bottom w:val="single" w:sz="6" w:space="0" w:color="auto"/>
              <w:right w:val="single" w:sz="6" w:space="0" w:color="auto"/>
            </w:tcBorders>
          </w:tcPr>
          <w:p w14:paraId="3B0E153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398,8 w</w:t>
            </w:r>
          </w:p>
        </w:tc>
        <w:tc>
          <w:tcPr>
            <w:tcW w:w="1132" w:type="dxa"/>
            <w:tcBorders>
              <w:top w:val="single" w:sz="6" w:space="0" w:color="auto"/>
              <w:left w:val="single" w:sz="6" w:space="0" w:color="auto"/>
              <w:bottom w:val="single" w:sz="6" w:space="0" w:color="auto"/>
              <w:right w:val="single" w:sz="6" w:space="0" w:color="auto"/>
            </w:tcBorders>
          </w:tcPr>
          <w:p w14:paraId="265022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201,4 w</w:t>
            </w:r>
          </w:p>
        </w:tc>
      </w:tr>
      <w:tr w:rsidR="003D4454" w:rsidRPr="00C9671E" w14:paraId="12DB7FC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C3B6E6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од кои СДИ на земјите од ЕУ-27 во економијата за која се известува (во милиони евра)</w:t>
            </w:r>
          </w:p>
        </w:tc>
        <w:tc>
          <w:tcPr>
            <w:tcW w:w="752" w:type="dxa"/>
            <w:tcBorders>
              <w:top w:val="single" w:sz="6" w:space="0" w:color="auto"/>
              <w:left w:val="single" w:sz="6" w:space="0" w:color="auto"/>
              <w:bottom w:val="single" w:sz="6" w:space="0" w:color="auto"/>
              <w:right w:val="single" w:sz="6" w:space="0" w:color="auto"/>
            </w:tcBorders>
          </w:tcPr>
          <w:p w14:paraId="0F08523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D47FE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181,4 w</w:t>
            </w:r>
          </w:p>
        </w:tc>
        <w:tc>
          <w:tcPr>
            <w:tcW w:w="1132" w:type="dxa"/>
            <w:tcBorders>
              <w:top w:val="single" w:sz="6" w:space="0" w:color="auto"/>
              <w:left w:val="single" w:sz="6" w:space="0" w:color="auto"/>
              <w:bottom w:val="single" w:sz="6" w:space="0" w:color="auto"/>
              <w:right w:val="single" w:sz="6" w:space="0" w:color="auto"/>
            </w:tcBorders>
          </w:tcPr>
          <w:p w14:paraId="5DEBDC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162,5 w</w:t>
            </w:r>
          </w:p>
        </w:tc>
        <w:tc>
          <w:tcPr>
            <w:tcW w:w="1132" w:type="dxa"/>
            <w:tcBorders>
              <w:top w:val="single" w:sz="6" w:space="0" w:color="auto"/>
              <w:left w:val="single" w:sz="6" w:space="0" w:color="auto"/>
              <w:bottom w:val="single" w:sz="6" w:space="0" w:color="auto"/>
              <w:right w:val="single" w:sz="6" w:space="0" w:color="auto"/>
            </w:tcBorders>
          </w:tcPr>
          <w:p w14:paraId="3C6F39E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86,0 w</w:t>
            </w:r>
          </w:p>
        </w:tc>
        <w:tc>
          <w:tcPr>
            <w:tcW w:w="1132" w:type="dxa"/>
            <w:tcBorders>
              <w:top w:val="single" w:sz="6" w:space="0" w:color="auto"/>
              <w:left w:val="single" w:sz="6" w:space="0" w:color="auto"/>
              <w:bottom w:val="single" w:sz="6" w:space="0" w:color="auto"/>
              <w:right w:val="single" w:sz="6" w:space="0" w:color="auto"/>
            </w:tcBorders>
          </w:tcPr>
          <w:p w14:paraId="120E56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290,4 w</w:t>
            </w:r>
          </w:p>
        </w:tc>
        <w:tc>
          <w:tcPr>
            <w:tcW w:w="1132" w:type="dxa"/>
            <w:tcBorders>
              <w:top w:val="single" w:sz="6" w:space="0" w:color="auto"/>
              <w:left w:val="single" w:sz="6" w:space="0" w:color="auto"/>
              <w:bottom w:val="single" w:sz="6" w:space="0" w:color="auto"/>
              <w:right w:val="single" w:sz="6" w:space="0" w:color="auto"/>
            </w:tcBorders>
          </w:tcPr>
          <w:p w14:paraId="4B05FF1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220,2</w:t>
            </w:r>
          </w:p>
        </w:tc>
        <w:tc>
          <w:tcPr>
            <w:tcW w:w="1132" w:type="dxa"/>
            <w:tcBorders>
              <w:top w:val="single" w:sz="6" w:space="0" w:color="auto"/>
              <w:left w:val="single" w:sz="6" w:space="0" w:color="auto"/>
              <w:bottom w:val="single" w:sz="6" w:space="0" w:color="auto"/>
              <w:right w:val="single" w:sz="6" w:space="0" w:color="auto"/>
            </w:tcBorders>
          </w:tcPr>
          <w:p w14:paraId="4018CF7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42,3 w</w:t>
            </w:r>
          </w:p>
        </w:tc>
      </w:tr>
      <w:tr w:rsidR="003D4454" w:rsidRPr="00C9671E" w14:paraId="362694E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9C147E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**Нето-меѓународна инвестициска позиција, во однос на БДП (%)</w:t>
            </w:r>
          </w:p>
        </w:tc>
        <w:tc>
          <w:tcPr>
            <w:tcW w:w="752" w:type="dxa"/>
            <w:tcBorders>
              <w:top w:val="single" w:sz="6" w:space="0" w:color="auto"/>
              <w:left w:val="single" w:sz="6" w:space="0" w:color="auto"/>
              <w:bottom w:val="single" w:sz="6" w:space="0" w:color="auto"/>
              <w:right w:val="single" w:sz="6" w:space="0" w:color="auto"/>
            </w:tcBorders>
          </w:tcPr>
          <w:p w14:paraId="56EFA67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2D1ABE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-53,4 w</w:t>
            </w:r>
          </w:p>
        </w:tc>
        <w:tc>
          <w:tcPr>
            <w:tcW w:w="1132" w:type="dxa"/>
            <w:tcBorders>
              <w:top w:val="single" w:sz="6" w:space="0" w:color="auto"/>
              <w:left w:val="single" w:sz="6" w:space="0" w:color="auto"/>
              <w:bottom w:val="single" w:sz="6" w:space="0" w:color="auto"/>
              <w:right w:val="single" w:sz="6" w:space="0" w:color="auto"/>
            </w:tcBorders>
          </w:tcPr>
          <w:p w14:paraId="00BD594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-57,7 w</w:t>
            </w:r>
          </w:p>
        </w:tc>
        <w:tc>
          <w:tcPr>
            <w:tcW w:w="1132" w:type="dxa"/>
            <w:tcBorders>
              <w:top w:val="single" w:sz="6" w:space="0" w:color="auto"/>
              <w:left w:val="single" w:sz="6" w:space="0" w:color="auto"/>
              <w:bottom w:val="single" w:sz="6" w:space="0" w:color="auto"/>
              <w:right w:val="single" w:sz="6" w:space="0" w:color="auto"/>
            </w:tcBorders>
          </w:tcPr>
          <w:p w14:paraId="7B16926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-58,0 w</w:t>
            </w:r>
          </w:p>
        </w:tc>
        <w:tc>
          <w:tcPr>
            <w:tcW w:w="1132" w:type="dxa"/>
            <w:tcBorders>
              <w:top w:val="single" w:sz="6" w:space="0" w:color="auto"/>
              <w:left w:val="single" w:sz="6" w:space="0" w:color="auto"/>
              <w:bottom w:val="single" w:sz="6" w:space="0" w:color="auto"/>
              <w:right w:val="single" w:sz="6" w:space="0" w:color="auto"/>
            </w:tcBorders>
          </w:tcPr>
          <w:p w14:paraId="2BFBF15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-56,2 w</w:t>
            </w:r>
          </w:p>
        </w:tc>
        <w:tc>
          <w:tcPr>
            <w:tcW w:w="1132" w:type="dxa"/>
            <w:tcBorders>
              <w:top w:val="single" w:sz="6" w:space="0" w:color="auto"/>
              <w:left w:val="single" w:sz="6" w:space="0" w:color="auto"/>
              <w:bottom w:val="single" w:sz="6" w:space="0" w:color="auto"/>
              <w:right w:val="single" w:sz="6" w:space="0" w:color="auto"/>
            </w:tcBorders>
          </w:tcPr>
          <w:p w14:paraId="7B6717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-57,3 pw</w:t>
            </w:r>
          </w:p>
        </w:tc>
        <w:tc>
          <w:tcPr>
            <w:tcW w:w="1132" w:type="dxa"/>
            <w:tcBorders>
              <w:top w:val="single" w:sz="6" w:space="0" w:color="auto"/>
              <w:left w:val="single" w:sz="6" w:space="0" w:color="auto"/>
              <w:bottom w:val="single" w:sz="6" w:space="0" w:color="auto"/>
              <w:right w:val="single" w:sz="6" w:space="0" w:color="auto"/>
            </w:tcBorders>
          </w:tcPr>
          <w:p w14:paraId="3CF8F6F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-64,9 w</w:t>
            </w:r>
          </w:p>
        </w:tc>
      </w:tr>
      <w:tr w:rsidR="003D4454" w:rsidRPr="00C9671E" w14:paraId="172AA3B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12C415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Од година во година стапка на промена на бруто-прилив на дознаки (во национална валута) од работниците мигранти (%)</w:t>
            </w:r>
          </w:p>
        </w:tc>
        <w:tc>
          <w:tcPr>
            <w:tcW w:w="752" w:type="dxa"/>
            <w:tcBorders>
              <w:top w:val="single" w:sz="6" w:space="0" w:color="auto"/>
              <w:left w:val="single" w:sz="6" w:space="0" w:color="auto"/>
              <w:bottom w:val="single" w:sz="6" w:space="0" w:color="auto"/>
              <w:right w:val="single" w:sz="6" w:space="0" w:color="auto"/>
            </w:tcBorders>
          </w:tcPr>
          <w:p w14:paraId="19D32FA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5D8B28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 sw</w:t>
            </w:r>
          </w:p>
        </w:tc>
        <w:tc>
          <w:tcPr>
            <w:tcW w:w="1132" w:type="dxa"/>
            <w:tcBorders>
              <w:top w:val="single" w:sz="6" w:space="0" w:color="auto"/>
              <w:left w:val="single" w:sz="6" w:space="0" w:color="auto"/>
              <w:bottom w:val="single" w:sz="6" w:space="0" w:color="auto"/>
              <w:right w:val="single" w:sz="6" w:space="0" w:color="auto"/>
            </w:tcBorders>
          </w:tcPr>
          <w:p w14:paraId="7544B5B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 sw</w:t>
            </w:r>
          </w:p>
        </w:tc>
        <w:tc>
          <w:tcPr>
            <w:tcW w:w="1132" w:type="dxa"/>
            <w:tcBorders>
              <w:top w:val="single" w:sz="6" w:space="0" w:color="auto"/>
              <w:left w:val="single" w:sz="6" w:space="0" w:color="auto"/>
              <w:bottom w:val="single" w:sz="6" w:space="0" w:color="auto"/>
              <w:right w:val="single" w:sz="6" w:space="0" w:color="auto"/>
            </w:tcBorders>
          </w:tcPr>
          <w:p w14:paraId="67FD4F6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 sw</w:t>
            </w:r>
          </w:p>
        </w:tc>
        <w:tc>
          <w:tcPr>
            <w:tcW w:w="1132" w:type="dxa"/>
            <w:tcBorders>
              <w:top w:val="single" w:sz="6" w:space="0" w:color="auto"/>
              <w:left w:val="single" w:sz="6" w:space="0" w:color="auto"/>
              <w:bottom w:val="single" w:sz="6" w:space="0" w:color="auto"/>
              <w:right w:val="single" w:sz="6" w:space="0" w:color="auto"/>
            </w:tcBorders>
          </w:tcPr>
          <w:p w14:paraId="7BDD104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 sw</w:t>
            </w:r>
          </w:p>
        </w:tc>
        <w:tc>
          <w:tcPr>
            <w:tcW w:w="1132" w:type="dxa"/>
            <w:tcBorders>
              <w:top w:val="single" w:sz="6" w:space="0" w:color="auto"/>
              <w:left w:val="single" w:sz="6" w:space="0" w:color="auto"/>
              <w:bottom w:val="single" w:sz="6" w:space="0" w:color="auto"/>
              <w:right w:val="single" w:sz="6" w:space="0" w:color="auto"/>
            </w:tcBorders>
          </w:tcPr>
          <w:p w14:paraId="6AC6E53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B542C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09C482AB" w14:textId="77777777" w:rsidTr="00705B41">
        <w:trPr>
          <w:cantSplit/>
          <w:trHeight w:val="223"/>
        </w:trPr>
        <w:tc>
          <w:tcPr>
            <w:tcW w:w="6817" w:type="dxa"/>
            <w:tcBorders>
              <w:top w:val="nil"/>
              <w:left w:val="nil"/>
              <w:bottom w:val="nil"/>
              <w:right w:val="nil"/>
            </w:tcBorders>
          </w:tcPr>
          <w:p w14:paraId="59D6CDB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209DB39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5CFFEC8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12262E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F39A3B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14A953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54B7B5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BC82F1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739E512D" w14:textId="77777777" w:rsidTr="00705B41">
        <w:trPr>
          <w:cantSplit/>
          <w:trHeight w:val="223"/>
        </w:trPr>
        <w:tc>
          <w:tcPr>
            <w:tcW w:w="6817" w:type="dxa"/>
            <w:tcBorders>
              <w:top w:val="nil"/>
              <w:left w:val="nil"/>
              <w:bottom w:val="nil"/>
              <w:right w:val="nil"/>
            </w:tcBorders>
          </w:tcPr>
          <w:p w14:paraId="52D59BC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Јавни финансии</w:t>
            </w:r>
          </w:p>
        </w:tc>
        <w:tc>
          <w:tcPr>
            <w:tcW w:w="752" w:type="dxa"/>
            <w:tcBorders>
              <w:top w:val="single" w:sz="6" w:space="0" w:color="auto"/>
              <w:left w:val="single" w:sz="6" w:space="0" w:color="auto"/>
              <w:bottom w:val="single" w:sz="6" w:space="0" w:color="auto"/>
              <w:right w:val="single" w:sz="6" w:space="0" w:color="auto"/>
            </w:tcBorders>
          </w:tcPr>
          <w:p w14:paraId="67C53F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152DDC5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1B6ABDE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6904785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6B89CC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208909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4439AC9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19C76DB0"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B9D1A0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Општ државен дефицит/суфицит, во однос на БДП (%)</w:t>
            </w:r>
          </w:p>
        </w:tc>
        <w:tc>
          <w:tcPr>
            <w:tcW w:w="752" w:type="dxa"/>
            <w:tcBorders>
              <w:top w:val="single" w:sz="6" w:space="0" w:color="auto"/>
              <w:left w:val="single" w:sz="6" w:space="0" w:color="auto"/>
              <w:bottom w:val="single" w:sz="6" w:space="0" w:color="auto"/>
              <w:right w:val="single" w:sz="6" w:space="0" w:color="auto"/>
            </w:tcBorders>
          </w:tcPr>
          <w:p w14:paraId="74FBF03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03BED0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 w</w:t>
            </w:r>
          </w:p>
        </w:tc>
        <w:tc>
          <w:tcPr>
            <w:tcW w:w="1132" w:type="dxa"/>
            <w:tcBorders>
              <w:top w:val="single" w:sz="6" w:space="0" w:color="auto"/>
              <w:left w:val="single" w:sz="6" w:space="0" w:color="auto"/>
              <w:bottom w:val="single" w:sz="6" w:space="0" w:color="auto"/>
              <w:right w:val="single" w:sz="6" w:space="0" w:color="auto"/>
            </w:tcBorders>
          </w:tcPr>
          <w:p w14:paraId="160157C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 w</w:t>
            </w:r>
          </w:p>
        </w:tc>
        <w:tc>
          <w:tcPr>
            <w:tcW w:w="1132" w:type="dxa"/>
            <w:tcBorders>
              <w:top w:val="single" w:sz="6" w:space="0" w:color="auto"/>
              <w:left w:val="single" w:sz="6" w:space="0" w:color="auto"/>
              <w:bottom w:val="single" w:sz="6" w:space="0" w:color="auto"/>
              <w:right w:val="single" w:sz="6" w:space="0" w:color="auto"/>
            </w:tcBorders>
          </w:tcPr>
          <w:p w14:paraId="4C920BA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 w</w:t>
            </w:r>
          </w:p>
        </w:tc>
        <w:tc>
          <w:tcPr>
            <w:tcW w:w="1132" w:type="dxa"/>
            <w:tcBorders>
              <w:top w:val="single" w:sz="6" w:space="0" w:color="auto"/>
              <w:left w:val="single" w:sz="6" w:space="0" w:color="auto"/>
              <w:bottom w:val="single" w:sz="6" w:space="0" w:color="auto"/>
              <w:right w:val="single" w:sz="6" w:space="0" w:color="auto"/>
            </w:tcBorders>
          </w:tcPr>
          <w:p w14:paraId="19D6902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 w</w:t>
            </w:r>
          </w:p>
        </w:tc>
        <w:tc>
          <w:tcPr>
            <w:tcW w:w="1132" w:type="dxa"/>
            <w:tcBorders>
              <w:top w:val="single" w:sz="6" w:space="0" w:color="auto"/>
              <w:left w:val="single" w:sz="6" w:space="0" w:color="auto"/>
              <w:bottom w:val="single" w:sz="6" w:space="0" w:color="auto"/>
              <w:right w:val="single" w:sz="6" w:space="0" w:color="auto"/>
            </w:tcBorders>
          </w:tcPr>
          <w:p w14:paraId="5765A6F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 w</w:t>
            </w:r>
          </w:p>
        </w:tc>
        <w:tc>
          <w:tcPr>
            <w:tcW w:w="1132" w:type="dxa"/>
            <w:tcBorders>
              <w:top w:val="single" w:sz="6" w:space="0" w:color="auto"/>
              <w:left w:val="single" w:sz="6" w:space="0" w:color="auto"/>
              <w:bottom w:val="single" w:sz="6" w:space="0" w:color="auto"/>
              <w:right w:val="single" w:sz="6" w:space="0" w:color="auto"/>
            </w:tcBorders>
          </w:tcPr>
          <w:p w14:paraId="71C47B9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-8,1 w</w:t>
            </w:r>
          </w:p>
        </w:tc>
      </w:tr>
      <w:tr w:rsidR="003D4454" w:rsidRPr="00C9671E" w14:paraId="1DF28520"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2C7B43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Општ државен бруто-долг, во однос на БДП (%)</w:t>
            </w:r>
          </w:p>
        </w:tc>
        <w:tc>
          <w:tcPr>
            <w:tcW w:w="752" w:type="dxa"/>
            <w:tcBorders>
              <w:top w:val="single" w:sz="6" w:space="0" w:color="auto"/>
              <w:left w:val="single" w:sz="6" w:space="0" w:color="auto"/>
              <w:bottom w:val="single" w:sz="6" w:space="0" w:color="auto"/>
              <w:right w:val="single" w:sz="6" w:space="0" w:color="auto"/>
            </w:tcBorders>
          </w:tcPr>
          <w:p w14:paraId="125922B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09632B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23,6 w</w:t>
            </w:r>
          </w:p>
        </w:tc>
        <w:tc>
          <w:tcPr>
            <w:tcW w:w="1132" w:type="dxa"/>
            <w:tcBorders>
              <w:top w:val="single" w:sz="6" w:space="0" w:color="auto"/>
              <w:left w:val="single" w:sz="6" w:space="0" w:color="auto"/>
              <w:bottom w:val="single" w:sz="6" w:space="0" w:color="auto"/>
              <w:right w:val="single" w:sz="6" w:space="0" w:color="auto"/>
            </w:tcBorders>
          </w:tcPr>
          <w:p w14:paraId="1D24FEC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39,9 w</w:t>
            </w:r>
          </w:p>
        </w:tc>
        <w:tc>
          <w:tcPr>
            <w:tcW w:w="1132" w:type="dxa"/>
            <w:tcBorders>
              <w:top w:val="single" w:sz="6" w:space="0" w:color="auto"/>
              <w:left w:val="single" w:sz="6" w:space="0" w:color="auto"/>
              <w:bottom w:val="single" w:sz="6" w:space="0" w:color="auto"/>
              <w:right w:val="single" w:sz="6" w:space="0" w:color="auto"/>
            </w:tcBorders>
          </w:tcPr>
          <w:p w14:paraId="2F4E359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39,4 w</w:t>
            </w:r>
          </w:p>
        </w:tc>
        <w:tc>
          <w:tcPr>
            <w:tcW w:w="1132" w:type="dxa"/>
            <w:tcBorders>
              <w:top w:val="single" w:sz="6" w:space="0" w:color="auto"/>
              <w:left w:val="single" w:sz="6" w:space="0" w:color="auto"/>
              <w:bottom w:val="single" w:sz="6" w:space="0" w:color="auto"/>
              <w:right w:val="single" w:sz="6" w:space="0" w:color="auto"/>
            </w:tcBorders>
          </w:tcPr>
          <w:p w14:paraId="666BA4E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40,4 w</w:t>
            </w:r>
          </w:p>
        </w:tc>
        <w:tc>
          <w:tcPr>
            <w:tcW w:w="1132" w:type="dxa"/>
            <w:tcBorders>
              <w:top w:val="single" w:sz="6" w:space="0" w:color="auto"/>
              <w:left w:val="single" w:sz="6" w:space="0" w:color="auto"/>
              <w:bottom w:val="single" w:sz="6" w:space="0" w:color="auto"/>
              <w:right w:val="single" w:sz="6" w:space="0" w:color="auto"/>
            </w:tcBorders>
          </w:tcPr>
          <w:p w14:paraId="4AA24A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40,7 w</w:t>
            </w:r>
          </w:p>
        </w:tc>
        <w:tc>
          <w:tcPr>
            <w:tcW w:w="1132" w:type="dxa"/>
            <w:tcBorders>
              <w:top w:val="single" w:sz="6" w:space="0" w:color="auto"/>
              <w:left w:val="single" w:sz="6" w:space="0" w:color="auto"/>
              <w:bottom w:val="single" w:sz="6" w:space="0" w:color="auto"/>
              <w:right w:val="single" w:sz="6" w:space="0" w:color="auto"/>
            </w:tcBorders>
          </w:tcPr>
          <w:p w14:paraId="4F1CC65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51,2 w</w:t>
            </w:r>
          </w:p>
        </w:tc>
      </w:tr>
      <w:tr w:rsidR="003D4454" w:rsidRPr="00C9671E" w14:paraId="38ED658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BE9DDF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Вкупно државен приход, како процент од БДП (%)</w:t>
            </w:r>
          </w:p>
        </w:tc>
        <w:tc>
          <w:tcPr>
            <w:tcW w:w="752" w:type="dxa"/>
            <w:tcBorders>
              <w:top w:val="single" w:sz="6" w:space="0" w:color="auto"/>
              <w:left w:val="single" w:sz="6" w:space="0" w:color="auto"/>
              <w:bottom w:val="single" w:sz="6" w:space="0" w:color="auto"/>
              <w:right w:val="single" w:sz="6" w:space="0" w:color="auto"/>
            </w:tcBorders>
          </w:tcPr>
          <w:p w14:paraId="55F50F3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554A92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31,0 w</w:t>
            </w:r>
          </w:p>
        </w:tc>
        <w:tc>
          <w:tcPr>
            <w:tcW w:w="1132" w:type="dxa"/>
            <w:tcBorders>
              <w:top w:val="single" w:sz="6" w:space="0" w:color="auto"/>
              <w:left w:val="single" w:sz="6" w:space="0" w:color="auto"/>
              <w:bottom w:val="single" w:sz="6" w:space="0" w:color="auto"/>
              <w:right w:val="single" w:sz="6" w:space="0" w:color="auto"/>
            </w:tcBorders>
          </w:tcPr>
          <w:p w14:paraId="0BE971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28,5 w</w:t>
            </w:r>
          </w:p>
        </w:tc>
        <w:tc>
          <w:tcPr>
            <w:tcW w:w="1132" w:type="dxa"/>
            <w:tcBorders>
              <w:top w:val="single" w:sz="6" w:space="0" w:color="auto"/>
              <w:left w:val="single" w:sz="6" w:space="0" w:color="auto"/>
              <w:bottom w:val="single" w:sz="6" w:space="0" w:color="auto"/>
              <w:right w:val="single" w:sz="6" w:space="0" w:color="auto"/>
            </w:tcBorders>
          </w:tcPr>
          <w:p w14:paraId="15B3B71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29,1 w</w:t>
            </w:r>
          </w:p>
        </w:tc>
        <w:tc>
          <w:tcPr>
            <w:tcW w:w="1132" w:type="dxa"/>
            <w:tcBorders>
              <w:top w:val="single" w:sz="6" w:space="0" w:color="auto"/>
              <w:left w:val="single" w:sz="6" w:space="0" w:color="auto"/>
              <w:bottom w:val="single" w:sz="6" w:space="0" w:color="auto"/>
              <w:right w:val="single" w:sz="6" w:space="0" w:color="auto"/>
            </w:tcBorders>
          </w:tcPr>
          <w:p w14:paraId="2A835EF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28,6 w</w:t>
            </w:r>
          </w:p>
        </w:tc>
        <w:tc>
          <w:tcPr>
            <w:tcW w:w="1132" w:type="dxa"/>
            <w:tcBorders>
              <w:top w:val="single" w:sz="6" w:space="0" w:color="auto"/>
              <w:left w:val="single" w:sz="6" w:space="0" w:color="auto"/>
              <w:bottom w:val="single" w:sz="6" w:space="0" w:color="auto"/>
              <w:right w:val="single" w:sz="6" w:space="0" w:color="auto"/>
            </w:tcBorders>
          </w:tcPr>
          <w:p w14:paraId="0CDF2EB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29,2 w</w:t>
            </w:r>
          </w:p>
        </w:tc>
        <w:tc>
          <w:tcPr>
            <w:tcW w:w="1132" w:type="dxa"/>
            <w:tcBorders>
              <w:top w:val="single" w:sz="6" w:space="0" w:color="auto"/>
              <w:left w:val="single" w:sz="6" w:space="0" w:color="auto"/>
              <w:bottom w:val="single" w:sz="6" w:space="0" w:color="auto"/>
              <w:right w:val="single" w:sz="6" w:space="0" w:color="auto"/>
            </w:tcBorders>
          </w:tcPr>
          <w:p w14:paraId="69107F3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28,5 w</w:t>
            </w:r>
          </w:p>
        </w:tc>
      </w:tr>
      <w:tr w:rsidR="003D4454" w:rsidRPr="00C9671E" w14:paraId="196FBB7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65CD24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Вкупно државен расход, како процент од БДП (%)</w:t>
            </w:r>
          </w:p>
        </w:tc>
        <w:tc>
          <w:tcPr>
            <w:tcW w:w="752" w:type="dxa"/>
            <w:tcBorders>
              <w:top w:val="single" w:sz="6" w:space="0" w:color="auto"/>
              <w:left w:val="single" w:sz="6" w:space="0" w:color="auto"/>
              <w:bottom w:val="single" w:sz="6" w:space="0" w:color="auto"/>
              <w:right w:val="single" w:sz="6" w:space="0" w:color="auto"/>
            </w:tcBorders>
          </w:tcPr>
          <w:p w14:paraId="31FA8B7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3C4054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33,6 w</w:t>
            </w:r>
          </w:p>
        </w:tc>
        <w:tc>
          <w:tcPr>
            <w:tcW w:w="1132" w:type="dxa"/>
            <w:tcBorders>
              <w:top w:val="single" w:sz="6" w:space="0" w:color="auto"/>
              <w:left w:val="single" w:sz="6" w:space="0" w:color="auto"/>
              <w:bottom w:val="single" w:sz="6" w:space="0" w:color="auto"/>
              <w:right w:val="single" w:sz="6" w:space="0" w:color="auto"/>
            </w:tcBorders>
          </w:tcPr>
          <w:p w14:paraId="420B5A7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31,2 w</w:t>
            </w:r>
          </w:p>
        </w:tc>
        <w:tc>
          <w:tcPr>
            <w:tcW w:w="1132" w:type="dxa"/>
            <w:tcBorders>
              <w:top w:val="single" w:sz="6" w:space="0" w:color="auto"/>
              <w:left w:val="single" w:sz="6" w:space="0" w:color="auto"/>
              <w:bottom w:val="single" w:sz="6" w:space="0" w:color="auto"/>
              <w:right w:val="single" w:sz="6" w:space="0" w:color="auto"/>
            </w:tcBorders>
          </w:tcPr>
          <w:p w14:paraId="489A9A2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31,8 w</w:t>
            </w:r>
          </w:p>
        </w:tc>
        <w:tc>
          <w:tcPr>
            <w:tcW w:w="1132" w:type="dxa"/>
            <w:tcBorders>
              <w:top w:val="single" w:sz="6" w:space="0" w:color="auto"/>
              <w:left w:val="single" w:sz="6" w:space="0" w:color="auto"/>
              <w:bottom w:val="single" w:sz="6" w:space="0" w:color="auto"/>
              <w:right w:val="single" w:sz="6" w:space="0" w:color="auto"/>
            </w:tcBorders>
          </w:tcPr>
          <w:p w14:paraId="6E191EA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30,4 w</w:t>
            </w:r>
          </w:p>
        </w:tc>
        <w:tc>
          <w:tcPr>
            <w:tcW w:w="1132" w:type="dxa"/>
            <w:tcBorders>
              <w:top w:val="single" w:sz="6" w:space="0" w:color="auto"/>
              <w:left w:val="single" w:sz="6" w:space="0" w:color="auto"/>
              <w:bottom w:val="single" w:sz="6" w:space="0" w:color="auto"/>
              <w:right w:val="single" w:sz="6" w:space="0" w:color="auto"/>
            </w:tcBorders>
          </w:tcPr>
          <w:p w14:paraId="54BA3EB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31,2 w</w:t>
            </w:r>
          </w:p>
        </w:tc>
        <w:tc>
          <w:tcPr>
            <w:tcW w:w="1132" w:type="dxa"/>
            <w:tcBorders>
              <w:top w:val="single" w:sz="6" w:space="0" w:color="auto"/>
              <w:left w:val="single" w:sz="6" w:space="0" w:color="auto"/>
              <w:bottom w:val="single" w:sz="6" w:space="0" w:color="auto"/>
              <w:right w:val="single" w:sz="6" w:space="0" w:color="auto"/>
            </w:tcBorders>
          </w:tcPr>
          <w:p w14:paraId="0803EB8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36,7 w</w:t>
            </w:r>
          </w:p>
        </w:tc>
      </w:tr>
      <w:tr w:rsidR="003D4454" w:rsidRPr="00C9671E" w14:paraId="4181E432" w14:textId="77777777" w:rsidTr="00705B41">
        <w:trPr>
          <w:cantSplit/>
          <w:trHeight w:val="223"/>
        </w:trPr>
        <w:tc>
          <w:tcPr>
            <w:tcW w:w="6817" w:type="dxa"/>
            <w:tcBorders>
              <w:top w:val="nil"/>
              <w:left w:val="nil"/>
              <w:bottom w:val="nil"/>
              <w:right w:val="nil"/>
            </w:tcBorders>
          </w:tcPr>
          <w:p w14:paraId="6E769B4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572F68E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50D840A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335459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DBBCCE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8AFCCD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B5182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108967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4EFC799A" w14:textId="77777777" w:rsidTr="00705B41">
        <w:trPr>
          <w:cantSplit/>
          <w:trHeight w:val="223"/>
        </w:trPr>
        <w:tc>
          <w:tcPr>
            <w:tcW w:w="6817" w:type="dxa"/>
            <w:tcBorders>
              <w:top w:val="nil"/>
              <w:left w:val="nil"/>
              <w:bottom w:val="nil"/>
              <w:right w:val="nil"/>
            </w:tcBorders>
          </w:tcPr>
          <w:p w14:paraId="2F1C212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Финансиски показатели</w:t>
            </w:r>
          </w:p>
        </w:tc>
        <w:tc>
          <w:tcPr>
            <w:tcW w:w="752" w:type="dxa"/>
            <w:tcBorders>
              <w:top w:val="single" w:sz="6" w:space="0" w:color="auto"/>
              <w:left w:val="single" w:sz="6" w:space="0" w:color="auto"/>
              <w:bottom w:val="single" w:sz="6" w:space="0" w:color="auto"/>
              <w:right w:val="single" w:sz="6" w:space="0" w:color="auto"/>
            </w:tcBorders>
          </w:tcPr>
          <w:p w14:paraId="6530324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0504A8B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1EC9BB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3C2A950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48A43FF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60364A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1DD9FE4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29829C50"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6D1EF4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Бруто-надворешен долг на целата економија, во однос на БДП (%)</w:t>
            </w:r>
          </w:p>
        </w:tc>
        <w:tc>
          <w:tcPr>
            <w:tcW w:w="752" w:type="dxa"/>
            <w:tcBorders>
              <w:top w:val="single" w:sz="6" w:space="0" w:color="auto"/>
              <w:left w:val="single" w:sz="6" w:space="0" w:color="auto"/>
              <w:bottom w:val="single" w:sz="6" w:space="0" w:color="auto"/>
              <w:right w:val="single" w:sz="6" w:space="0" w:color="auto"/>
            </w:tcBorders>
          </w:tcPr>
          <w:p w14:paraId="7ED6151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5F4156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55,9 sw</w:t>
            </w:r>
          </w:p>
        </w:tc>
        <w:tc>
          <w:tcPr>
            <w:tcW w:w="1132" w:type="dxa"/>
            <w:tcBorders>
              <w:top w:val="single" w:sz="6" w:space="0" w:color="auto"/>
              <w:left w:val="single" w:sz="6" w:space="0" w:color="auto"/>
              <w:bottom w:val="single" w:sz="6" w:space="0" w:color="auto"/>
              <w:right w:val="single" w:sz="6" w:space="0" w:color="auto"/>
            </w:tcBorders>
          </w:tcPr>
          <w:p w14:paraId="2FE7036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74,7 s</w:t>
            </w:r>
          </w:p>
        </w:tc>
        <w:tc>
          <w:tcPr>
            <w:tcW w:w="1132" w:type="dxa"/>
            <w:tcBorders>
              <w:top w:val="single" w:sz="6" w:space="0" w:color="auto"/>
              <w:left w:val="single" w:sz="6" w:space="0" w:color="auto"/>
              <w:bottom w:val="single" w:sz="6" w:space="0" w:color="auto"/>
              <w:right w:val="single" w:sz="6" w:space="0" w:color="auto"/>
            </w:tcBorders>
          </w:tcPr>
          <w:p w14:paraId="4C79D2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73,4 s</w:t>
            </w:r>
          </w:p>
        </w:tc>
        <w:tc>
          <w:tcPr>
            <w:tcW w:w="1132" w:type="dxa"/>
            <w:tcBorders>
              <w:top w:val="single" w:sz="6" w:space="0" w:color="auto"/>
              <w:left w:val="single" w:sz="6" w:space="0" w:color="auto"/>
              <w:bottom w:val="single" w:sz="6" w:space="0" w:color="auto"/>
              <w:right w:val="single" w:sz="6" w:space="0" w:color="auto"/>
            </w:tcBorders>
          </w:tcPr>
          <w:p w14:paraId="788D0A5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73,0 s</w:t>
            </w:r>
          </w:p>
        </w:tc>
        <w:tc>
          <w:tcPr>
            <w:tcW w:w="1132" w:type="dxa"/>
            <w:tcBorders>
              <w:top w:val="single" w:sz="6" w:space="0" w:color="auto"/>
              <w:left w:val="single" w:sz="6" w:space="0" w:color="auto"/>
              <w:bottom w:val="single" w:sz="6" w:space="0" w:color="auto"/>
              <w:right w:val="single" w:sz="6" w:space="0" w:color="auto"/>
            </w:tcBorders>
          </w:tcPr>
          <w:p w14:paraId="55D2418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72,4 s</w:t>
            </w:r>
          </w:p>
        </w:tc>
        <w:tc>
          <w:tcPr>
            <w:tcW w:w="1132" w:type="dxa"/>
            <w:tcBorders>
              <w:top w:val="single" w:sz="6" w:space="0" w:color="auto"/>
              <w:left w:val="single" w:sz="6" w:space="0" w:color="auto"/>
              <w:bottom w:val="single" w:sz="6" w:space="0" w:color="auto"/>
              <w:right w:val="single" w:sz="6" w:space="0" w:color="auto"/>
            </w:tcBorders>
          </w:tcPr>
          <w:p w14:paraId="7E29ED5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80,3 s</w:t>
            </w:r>
          </w:p>
        </w:tc>
      </w:tr>
      <w:tr w:rsidR="003D4454" w:rsidRPr="00C9671E" w14:paraId="1617D2A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2B3790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Бруто-надворешен долг на целата економија, во однос на вкупниот извоз (%)</w:t>
            </w:r>
          </w:p>
        </w:tc>
        <w:tc>
          <w:tcPr>
            <w:tcW w:w="752" w:type="dxa"/>
            <w:tcBorders>
              <w:top w:val="single" w:sz="6" w:space="0" w:color="auto"/>
              <w:left w:val="single" w:sz="6" w:space="0" w:color="auto"/>
              <w:bottom w:val="single" w:sz="6" w:space="0" w:color="auto"/>
              <w:right w:val="single" w:sz="6" w:space="0" w:color="auto"/>
            </w:tcBorders>
          </w:tcPr>
          <w:p w14:paraId="0A363AA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D7545A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176,4 w</w:t>
            </w:r>
          </w:p>
        </w:tc>
        <w:tc>
          <w:tcPr>
            <w:tcW w:w="1132" w:type="dxa"/>
            <w:tcBorders>
              <w:top w:val="single" w:sz="6" w:space="0" w:color="auto"/>
              <w:left w:val="single" w:sz="6" w:space="0" w:color="auto"/>
              <w:bottom w:val="single" w:sz="6" w:space="0" w:color="auto"/>
              <w:right w:val="single" w:sz="6" w:space="0" w:color="auto"/>
            </w:tcBorders>
          </w:tcPr>
          <w:p w14:paraId="76FEE75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146,7 w</w:t>
            </w:r>
          </w:p>
        </w:tc>
        <w:tc>
          <w:tcPr>
            <w:tcW w:w="1132" w:type="dxa"/>
            <w:tcBorders>
              <w:top w:val="single" w:sz="6" w:space="0" w:color="auto"/>
              <w:left w:val="single" w:sz="6" w:space="0" w:color="auto"/>
              <w:bottom w:val="single" w:sz="6" w:space="0" w:color="auto"/>
              <w:right w:val="single" w:sz="6" w:space="0" w:color="auto"/>
            </w:tcBorders>
          </w:tcPr>
          <w:p w14:paraId="2BFE11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133,8 w</w:t>
            </w:r>
          </w:p>
        </w:tc>
        <w:tc>
          <w:tcPr>
            <w:tcW w:w="1132" w:type="dxa"/>
            <w:tcBorders>
              <w:top w:val="single" w:sz="6" w:space="0" w:color="auto"/>
              <w:left w:val="single" w:sz="6" w:space="0" w:color="auto"/>
              <w:bottom w:val="single" w:sz="6" w:space="0" w:color="auto"/>
              <w:right w:val="single" w:sz="6" w:space="0" w:color="auto"/>
            </w:tcBorders>
          </w:tcPr>
          <w:p w14:paraId="4CF549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121,4 w</w:t>
            </w:r>
          </w:p>
        </w:tc>
        <w:tc>
          <w:tcPr>
            <w:tcW w:w="1132" w:type="dxa"/>
            <w:tcBorders>
              <w:top w:val="single" w:sz="6" w:space="0" w:color="auto"/>
              <w:left w:val="single" w:sz="6" w:space="0" w:color="auto"/>
              <w:bottom w:val="single" w:sz="6" w:space="0" w:color="auto"/>
              <w:right w:val="single" w:sz="6" w:space="0" w:color="auto"/>
            </w:tcBorders>
          </w:tcPr>
          <w:p w14:paraId="79094C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117,0 w</w:t>
            </w:r>
          </w:p>
        </w:tc>
        <w:tc>
          <w:tcPr>
            <w:tcW w:w="1132" w:type="dxa"/>
            <w:tcBorders>
              <w:top w:val="single" w:sz="6" w:space="0" w:color="auto"/>
              <w:left w:val="single" w:sz="6" w:space="0" w:color="auto"/>
              <w:bottom w:val="single" w:sz="6" w:space="0" w:color="auto"/>
              <w:right w:val="single" w:sz="6" w:space="0" w:color="auto"/>
            </w:tcBorders>
          </w:tcPr>
          <w:p w14:paraId="74C0736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136,3 w</w:t>
            </w:r>
          </w:p>
        </w:tc>
      </w:tr>
      <w:tr w:rsidR="003D4454" w:rsidRPr="00C9671E" w14:paraId="4FC21C1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AF9B00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Понуда на пари: M1 (банкноти, монети, депозити преку ноќ, во милиони евра)</w:t>
            </w:r>
          </w:p>
        </w:tc>
        <w:tc>
          <w:tcPr>
            <w:tcW w:w="752" w:type="dxa"/>
            <w:tcBorders>
              <w:top w:val="single" w:sz="6" w:space="0" w:color="auto"/>
              <w:left w:val="single" w:sz="6" w:space="0" w:color="auto"/>
              <w:bottom w:val="single" w:sz="6" w:space="0" w:color="auto"/>
              <w:right w:val="single" w:sz="6" w:space="0" w:color="auto"/>
            </w:tcBorders>
          </w:tcPr>
          <w:p w14:paraId="47E2E87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946" w:type="dxa"/>
            <w:tcBorders>
              <w:top w:val="single" w:sz="6" w:space="0" w:color="auto"/>
              <w:left w:val="single" w:sz="6" w:space="0" w:color="auto"/>
              <w:bottom w:val="single" w:sz="6" w:space="0" w:color="auto"/>
              <w:right w:val="single" w:sz="6" w:space="0" w:color="auto"/>
            </w:tcBorders>
          </w:tcPr>
          <w:p w14:paraId="66FC001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892,3 bw</w:t>
            </w:r>
          </w:p>
        </w:tc>
        <w:tc>
          <w:tcPr>
            <w:tcW w:w="1132" w:type="dxa"/>
            <w:tcBorders>
              <w:top w:val="single" w:sz="6" w:space="0" w:color="auto"/>
              <w:left w:val="single" w:sz="6" w:space="0" w:color="auto"/>
              <w:bottom w:val="single" w:sz="6" w:space="0" w:color="auto"/>
              <w:right w:val="single" w:sz="6" w:space="0" w:color="auto"/>
            </w:tcBorders>
          </w:tcPr>
          <w:p w14:paraId="6C9CE9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1.867,8 w</w:t>
            </w:r>
          </w:p>
        </w:tc>
        <w:tc>
          <w:tcPr>
            <w:tcW w:w="1132" w:type="dxa"/>
            <w:tcBorders>
              <w:top w:val="single" w:sz="6" w:space="0" w:color="auto"/>
              <w:left w:val="single" w:sz="6" w:space="0" w:color="auto"/>
              <w:bottom w:val="single" w:sz="6" w:space="0" w:color="auto"/>
              <w:right w:val="single" w:sz="6" w:space="0" w:color="auto"/>
            </w:tcBorders>
          </w:tcPr>
          <w:p w14:paraId="5AB57C6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2.053,3 w</w:t>
            </w:r>
          </w:p>
        </w:tc>
        <w:tc>
          <w:tcPr>
            <w:tcW w:w="1132" w:type="dxa"/>
            <w:tcBorders>
              <w:top w:val="single" w:sz="6" w:space="0" w:color="auto"/>
              <w:left w:val="single" w:sz="6" w:space="0" w:color="auto"/>
              <w:bottom w:val="single" w:sz="6" w:space="0" w:color="auto"/>
              <w:right w:val="single" w:sz="6" w:space="0" w:color="auto"/>
            </w:tcBorders>
          </w:tcPr>
          <w:p w14:paraId="7F7182B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2.436,7 w</w:t>
            </w:r>
          </w:p>
        </w:tc>
        <w:tc>
          <w:tcPr>
            <w:tcW w:w="1132" w:type="dxa"/>
            <w:tcBorders>
              <w:top w:val="single" w:sz="6" w:space="0" w:color="auto"/>
              <w:left w:val="single" w:sz="6" w:space="0" w:color="auto"/>
              <w:bottom w:val="single" w:sz="6" w:space="0" w:color="auto"/>
              <w:right w:val="single" w:sz="6" w:space="0" w:color="auto"/>
            </w:tcBorders>
          </w:tcPr>
          <w:p w14:paraId="40B042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2.857,4 w</w:t>
            </w:r>
          </w:p>
        </w:tc>
        <w:tc>
          <w:tcPr>
            <w:tcW w:w="1132" w:type="dxa"/>
            <w:tcBorders>
              <w:top w:val="single" w:sz="6" w:space="0" w:color="auto"/>
              <w:left w:val="single" w:sz="6" w:space="0" w:color="auto"/>
              <w:bottom w:val="single" w:sz="6" w:space="0" w:color="auto"/>
              <w:right w:val="single" w:sz="6" w:space="0" w:color="auto"/>
            </w:tcBorders>
          </w:tcPr>
          <w:p w14:paraId="44E2E6E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3.314,2 w</w:t>
            </w:r>
          </w:p>
        </w:tc>
      </w:tr>
      <w:tr w:rsidR="003D4454" w:rsidRPr="00C9671E" w14:paraId="5C4A7E6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4BD74B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Понуда на пари: M2 (M1 плус депозити со ороченост до две години,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5332F40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946" w:type="dxa"/>
            <w:tcBorders>
              <w:top w:val="single" w:sz="6" w:space="0" w:color="auto"/>
              <w:left w:val="single" w:sz="6" w:space="0" w:color="auto"/>
              <w:bottom w:val="single" w:sz="6" w:space="0" w:color="auto"/>
              <w:right w:val="single" w:sz="6" w:space="0" w:color="auto"/>
            </w:tcBorders>
          </w:tcPr>
          <w:p w14:paraId="64C7C9A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3.078,9 bw</w:t>
            </w:r>
          </w:p>
        </w:tc>
        <w:tc>
          <w:tcPr>
            <w:tcW w:w="1132" w:type="dxa"/>
            <w:tcBorders>
              <w:top w:val="single" w:sz="6" w:space="0" w:color="auto"/>
              <w:left w:val="single" w:sz="6" w:space="0" w:color="auto"/>
              <w:bottom w:val="single" w:sz="6" w:space="0" w:color="auto"/>
              <w:right w:val="single" w:sz="6" w:space="0" w:color="auto"/>
            </w:tcBorders>
          </w:tcPr>
          <w:p w14:paraId="5F906FE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4.395,9 w</w:t>
            </w:r>
          </w:p>
        </w:tc>
        <w:tc>
          <w:tcPr>
            <w:tcW w:w="1132" w:type="dxa"/>
            <w:tcBorders>
              <w:top w:val="single" w:sz="6" w:space="0" w:color="auto"/>
              <w:left w:val="single" w:sz="6" w:space="0" w:color="auto"/>
              <w:bottom w:val="single" w:sz="6" w:space="0" w:color="auto"/>
              <w:right w:val="single" w:sz="6" w:space="0" w:color="auto"/>
            </w:tcBorders>
          </w:tcPr>
          <w:p w14:paraId="4321AF0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4.564,2 w</w:t>
            </w:r>
          </w:p>
        </w:tc>
        <w:tc>
          <w:tcPr>
            <w:tcW w:w="1132" w:type="dxa"/>
            <w:tcBorders>
              <w:top w:val="single" w:sz="6" w:space="0" w:color="auto"/>
              <w:left w:val="single" w:sz="6" w:space="0" w:color="auto"/>
              <w:bottom w:val="single" w:sz="6" w:space="0" w:color="auto"/>
              <w:right w:val="single" w:sz="6" w:space="0" w:color="auto"/>
            </w:tcBorders>
          </w:tcPr>
          <w:p w14:paraId="7E44B5F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5.103,4 w</w:t>
            </w:r>
          </w:p>
        </w:tc>
        <w:tc>
          <w:tcPr>
            <w:tcW w:w="1132" w:type="dxa"/>
            <w:tcBorders>
              <w:top w:val="single" w:sz="6" w:space="0" w:color="auto"/>
              <w:left w:val="single" w:sz="6" w:space="0" w:color="auto"/>
              <w:bottom w:val="single" w:sz="6" w:space="0" w:color="auto"/>
              <w:right w:val="single" w:sz="6" w:space="0" w:color="auto"/>
            </w:tcBorders>
          </w:tcPr>
          <w:p w14:paraId="2D06EDA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5.609,3 w</w:t>
            </w:r>
          </w:p>
        </w:tc>
        <w:tc>
          <w:tcPr>
            <w:tcW w:w="1132" w:type="dxa"/>
            <w:tcBorders>
              <w:top w:val="single" w:sz="6" w:space="0" w:color="auto"/>
              <w:left w:val="single" w:sz="6" w:space="0" w:color="auto"/>
              <w:bottom w:val="single" w:sz="6" w:space="0" w:color="auto"/>
              <w:right w:val="single" w:sz="6" w:space="0" w:color="auto"/>
            </w:tcBorders>
          </w:tcPr>
          <w:p w14:paraId="7DD7D67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6.215,5 w</w:t>
            </w:r>
          </w:p>
        </w:tc>
      </w:tr>
      <w:tr w:rsidR="003D4454" w:rsidRPr="00C9671E" w14:paraId="161A1BE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0E0D94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Понуда на пари: M3 (M2 плус инструменти што може да се нудат на пазарот, во милиони евра)</w:t>
            </w:r>
          </w:p>
        </w:tc>
        <w:tc>
          <w:tcPr>
            <w:tcW w:w="752" w:type="dxa"/>
            <w:tcBorders>
              <w:top w:val="single" w:sz="6" w:space="0" w:color="auto"/>
              <w:left w:val="single" w:sz="6" w:space="0" w:color="auto"/>
              <w:bottom w:val="single" w:sz="6" w:space="0" w:color="auto"/>
              <w:right w:val="single" w:sz="6" w:space="0" w:color="auto"/>
            </w:tcBorders>
          </w:tcPr>
          <w:p w14:paraId="3CFBCBF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946" w:type="dxa"/>
            <w:tcBorders>
              <w:top w:val="single" w:sz="6" w:space="0" w:color="auto"/>
              <w:left w:val="single" w:sz="6" w:space="0" w:color="auto"/>
              <w:bottom w:val="single" w:sz="6" w:space="0" w:color="auto"/>
              <w:right w:val="single" w:sz="6" w:space="0" w:color="auto"/>
            </w:tcBorders>
          </w:tcPr>
          <w:p w14:paraId="22CD6AE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3.296,6 bw</w:t>
            </w:r>
          </w:p>
        </w:tc>
        <w:tc>
          <w:tcPr>
            <w:tcW w:w="1132" w:type="dxa"/>
            <w:tcBorders>
              <w:top w:val="single" w:sz="6" w:space="0" w:color="auto"/>
              <w:left w:val="single" w:sz="6" w:space="0" w:color="auto"/>
              <w:bottom w:val="single" w:sz="6" w:space="0" w:color="auto"/>
              <w:right w:val="single" w:sz="6" w:space="0" w:color="auto"/>
            </w:tcBorders>
          </w:tcPr>
          <w:p w14:paraId="3D8BBA8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5.240,6 w</w:t>
            </w:r>
          </w:p>
        </w:tc>
        <w:tc>
          <w:tcPr>
            <w:tcW w:w="1132" w:type="dxa"/>
            <w:tcBorders>
              <w:top w:val="single" w:sz="6" w:space="0" w:color="auto"/>
              <w:left w:val="single" w:sz="6" w:space="0" w:color="auto"/>
              <w:bottom w:val="single" w:sz="6" w:space="0" w:color="auto"/>
              <w:right w:val="single" w:sz="6" w:space="0" w:color="auto"/>
            </w:tcBorders>
          </w:tcPr>
          <w:p w14:paraId="34806C6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5.480,3 w</w:t>
            </w:r>
          </w:p>
        </w:tc>
        <w:tc>
          <w:tcPr>
            <w:tcW w:w="1132" w:type="dxa"/>
            <w:tcBorders>
              <w:top w:val="single" w:sz="6" w:space="0" w:color="auto"/>
              <w:left w:val="single" w:sz="6" w:space="0" w:color="auto"/>
              <w:bottom w:val="single" w:sz="6" w:space="0" w:color="auto"/>
              <w:right w:val="single" w:sz="6" w:space="0" w:color="auto"/>
            </w:tcBorders>
          </w:tcPr>
          <w:p w14:paraId="3DCB28D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6.072,6 w</w:t>
            </w:r>
          </w:p>
        </w:tc>
        <w:tc>
          <w:tcPr>
            <w:tcW w:w="1132" w:type="dxa"/>
            <w:tcBorders>
              <w:top w:val="single" w:sz="6" w:space="0" w:color="auto"/>
              <w:left w:val="single" w:sz="6" w:space="0" w:color="auto"/>
              <w:bottom w:val="single" w:sz="6" w:space="0" w:color="auto"/>
              <w:right w:val="single" w:sz="6" w:space="0" w:color="auto"/>
            </w:tcBorders>
          </w:tcPr>
          <w:p w14:paraId="35EBC61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6.571,1 w</w:t>
            </w:r>
          </w:p>
        </w:tc>
        <w:tc>
          <w:tcPr>
            <w:tcW w:w="1132" w:type="dxa"/>
            <w:tcBorders>
              <w:top w:val="single" w:sz="6" w:space="0" w:color="auto"/>
              <w:left w:val="single" w:sz="6" w:space="0" w:color="auto"/>
              <w:bottom w:val="single" w:sz="6" w:space="0" w:color="auto"/>
              <w:right w:val="single" w:sz="6" w:space="0" w:color="auto"/>
            </w:tcBorders>
          </w:tcPr>
          <w:p w14:paraId="311BE48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7.070,9 w</w:t>
            </w:r>
          </w:p>
        </w:tc>
      </w:tr>
      <w:tr w:rsidR="003D4454" w:rsidRPr="00C9671E" w14:paraId="08005EB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2AC599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Вкупен кредит по монетарни финансиски институции кон резиденти (консолидиран) (во милиони евра)</w:t>
            </w:r>
          </w:p>
        </w:tc>
        <w:tc>
          <w:tcPr>
            <w:tcW w:w="752" w:type="dxa"/>
            <w:tcBorders>
              <w:top w:val="single" w:sz="6" w:space="0" w:color="auto"/>
              <w:left w:val="single" w:sz="6" w:space="0" w:color="auto"/>
              <w:bottom w:val="single" w:sz="6" w:space="0" w:color="auto"/>
              <w:right w:val="single" w:sz="6" w:space="0" w:color="auto"/>
            </w:tcBorders>
          </w:tcPr>
          <w:p w14:paraId="28F68B7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5512D4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2.959,2 w</w:t>
            </w:r>
          </w:p>
        </w:tc>
        <w:tc>
          <w:tcPr>
            <w:tcW w:w="1132" w:type="dxa"/>
            <w:tcBorders>
              <w:top w:val="single" w:sz="6" w:space="0" w:color="auto"/>
              <w:left w:val="single" w:sz="6" w:space="0" w:color="auto"/>
              <w:bottom w:val="single" w:sz="6" w:space="0" w:color="auto"/>
              <w:right w:val="single" w:sz="6" w:space="0" w:color="auto"/>
            </w:tcBorders>
          </w:tcPr>
          <w:p w14:paraId="6641B2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4.632,0 w</w:t>
            </w:r>
          </w:p>
        </w:tc>
        <w:tc>
          <w:tcPr>
            <w:tcW w:w="1132" w:type="dxa"/>
            <w:tcBorders>
              <w:top w:val="single" w:sz="6" w:space="0" w:color="auto"/>
              <w:left w:val="single" w:sz="6" w:space="0" w:color="auto"/>
              <w:bottom w:val="single" w:sz="6" w:space="0" w:color="auto"/>
              <w:right w:val="single" w:sz="6" w:space="0" w:color="auto"/>
            </w:tcBorders>
          </w:tcPr>
          <w:p w14:paraId="016EEE8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4.883,0 w</w:t>
            </w:r>
          </w:p>
        </w:tc>
        <w:tc>
          <w:tcPr>
            <w:tcW w:w="1132" w:type="dxa"/>
            <w:tcBorders>
              <w:top w:val="single" w:sz="6" w:space="0" w:color="auto"/>
              <w:left w:val="single" w:sz="6" w:space="0" w:color="auto"/>
              <w:bottom w:val="single" w:sz="6" w:space="0" w:color="auto"/>
              <w:right w:val="single" w:sz="6" w:space="0" w:color="auto"/>
            </w:tcBorders>
          </w:tcPr>
          <w:p w14:paraId="17C0BC2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5.237,6 w</w:t>
            </w:r>
          </w:p>
        </w:tc>
        <w:tc>
          <w:tcPr>
            <w:tcW w:w="1132" w:type="dxa"/>
            <w:tcBorders>
              <w:top w:val="single" w:sz="6" w:space="0" w:color="auto"/>
              <w:left w:val="single" w:sz="6" w:space="0" w:color="auto"/>
              <w:bottom w:val="single" w:sz="6" w:space="0" w:color="auto"/>
              <w:right w:val="single" w:sz="6" w:space="0" w:color="auto"/>
            </w:tcBorders>
          </w:tcPr>
          <w:p w14:paraId="57FF16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5.552,3 w</w:t>
            </w:r>
          </w:p>
        </w:tc>
        <w:tc>
          <w:tcPr>
            <w:tcW w:w="1132" w:type="dxa"/>
            <w:tcBorders>
              <w:top w:val="single" w:sz="6" w:space="0" w:color="auto"/>
              <w:left w:val="single" w:sz="6" w:space="0" w:color="auto"/>
              <w:bottom w:val="single" w:sz="6" w:space="0" w:color="auto"/>
              <w:right w:val="single" w:sz="6" w:space="0" w:color="auto"/>
            </w:tcBorders>
          </w:tcPr>
          <w:p w14:paraId="701245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5.791,4 w</w:t>
            </w:r>
          </w:p>
        </w:tc>
      </w:tr>
      <w:tr w:rsidR="003D4454" w:rsidRPr="00C9671E" w14:paraId="3BD3FE3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13D926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**Годишна промена на обврските на финансискиот сектор (%)</w:t>
            </w:r>
          </w:p>
        </w:tc>
        <w:tc>
          <w:tcPr>
            <w:tcW w:w="752" w:type="dxa"/>
            <w:tcBorders>
              <w:top w:val="single" w:sz="6" w:space="0" w:color="auto"/>
              <w:left w:val="single" w:sz="6" w:space="0" w:color="auto"/>
              <w:bottom w:val="single" w:sz="6" w:space="0" w:color="auto"/>
              <w:right w:val="single" w:sz="6" w:space="0" w:color="auto"/>
            </w:tcBorders>
          </w:tcPr>
          <w:p w14:paraId="02274F8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92349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9BC5B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 w</w:t>
            </w:r>
          </w:p>
        </w:tc>
        <w:tc>
          <w:tcPr>
            <w:tcW w:w="1132" w:type="dxa"/>
            <w:tcBorders>
              <w:top w:val="single" w:sz="6" w:space="0" w:color="auto"/>
              <w:left w:val="single" w:sz="6" w:space="0" w:color="auto"/>
              <w:bottom w:val="single" w:sz="6" w:space="0" w:color="auto"/>
              <w:right w:val="single" w:sz="6" w:space="0" w:color="auto"/>
            </w:tcBorders>
          </w:tcPr>
          <w:p w14:paraId="6A115D9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 w</w:t>
            </w:r>
          </w:p>
        </w:tc>
        <w:tc>
          <w:tcPr>
            <w:tcW w:w="1132" w:type="dxa"/>
            <w:tcBorders>
              <w:top w:val="single" w:sz="6" w:space="0" w:color="auto"/>
              <w:left w:val="single" w:sz="6" w:space="0" w:color="auto"/>
              <w:bottom w:val="single" w:sz="6" w:space="0" w:color="auto"/>
              <w:right w:val="single" w:sz="6" w:space="0" w:color="auto"/>
            </w:tcBorders>
          </w:tcPr>
          <w:p w14:paraId="3740E9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 w</w:t>
            </w:r>
          </w:p>
        </w:tc>
        <w:tc>
          <w:tcPr>
            <w:tcW w:w="1132" w:type="dxa"/>
            <w:tcBorders>
              <w:top w:val="single" w:sz="6" w:space="0" w:color="auto"/>
              <w:left w:val="single" w:sz="6" w:space="0" w:color="auto"/>
              <w:bottom w:val="single" w:sz="6" w:space="0" w:color="auto"/>
              <w:right w:val="single" w:sz="6" w:space="0" w:color="auto"/>
            </w:tcBorders>
          </w:tcPr>
          <w:p w14:paraId="5042778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12,2 w</w:t>
            </w:r>
          </w:p>
        </w:tc>
        <w:tc>
          <w:tcPr>
            <w:tcW w:w="1132" w:type="dxa"/>
            <w:tcBorders>
              <w:top w:val="single" w:sz="6" w:space="0" w:color="auto"/>
              <w:left w:val="single" w:sz="6" w:space="0" w:color="auto"/>
              <w:bottom w:val="single" w:sz="6" w:space="0" w:color="auto"/>
              <w:right w:val="single" w:sz="6" w:space="0" w:color="auto"/>
            </w:tcBorders>
          </w:tcPr>
          <w:p w14:paraId="20F040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 w</w:t>
            </w:r>
          </w:p>
        </w:tc>
      </w:tr>
      <w:tr w:rsidR="003D4454" w:rsidRPr="00C9671E" w14:paraId="4918222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ECB6E7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**Приватни кредитни текови, консолидирани, во однос на БДП (%)</w:t>
            </w:r>
          </w:p>
        </w:tc>
        <w:tc>
          <w:tcPr>
            <w:tcW w:w="752" w:type="dxa"/>
            <w:tcBorders>
              <w:top w:val="single" w:sz="6" w:space="0" w:color="auto"/>
              <w:left w:val="single" w:sz="6" w:space="0" w:color="auto"/>
              <w:bottom w:val="single" w:sz="6" w:space="0" w:color="auto"/>
              <w:right w:val="single" w:sz="6" w:space="0" w:color="auto"/>
            </w:tcBorders>
          </w:tcPr>
          <w:p w14:paraId="6D5AF00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4B719F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F6C792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F70347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E98AF2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283B49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1B5089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3250B2E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DE26E0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**Приватен долг, консолидиран, во однос на БДП (%)</w:t>
            </w:r>
          </w:p>
        </w:tc>
        <w:tc>
          <w:tcPr>
            <w:tcW w:w="752" w:type="dxa"/>
            <w:tcBorders>
              <w:top w:val="single" w:sz="6" w:space="0" w:color="auto"/>
              <w:left w:val="single" w:sz="6" w:space="0" w:color="auto"/>
              <w:bottom w:val="single" w:sz="6" w:space="0" w:color="auto"/>
              <w:right w:val="single" w:sz="6" w:space="0" w:color="auto"/>
            </w:tcBorders>
          </w:tcPr>
          <w:p w14:paraId="32A50B0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0A482E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23F9C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D587C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6ACA78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8A45B1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44626F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4288A0D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CEB5EF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Каматни стапки: секојдневна парична стапка, годишно (%)</w:t>
            </w:r>
          </w:p>
        </w:tc>
        <w:tc>
          <w:tcPr>
            <w:tcW w:w="752" w:type="dxa"/>
            <w:tcBorders>
              <w:top w:val="single" w:sz="6" w:space="0" w:color="auto"/>
              <w:left w:val="single" w:sz="6" w:space="0" w:color="auto"/>
              <w:bottom w:val="single" w:sz="6" w:space="0" w:color="auto"/>
              <w:right w:val="single" w:sz="6" w:space="0" w:color="auto"/>
            </w:tcBorders>
          </w:tcPr>
          <w:p w14:paraId="4CA6316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w:t>
            </w:r>
          </w:p>
        </w:tc>
        <w:tc>
          <w:tcPr>
            <w:tcW w:w="946" w:type="dxa"/>
            <w:tcBorders>
              <w:top w:val="single" w:sz="6" w:space="0" w:color="auto"/>
              <w:left w:val="single" w:sz="6" w:space="0" w:color="auto"/>
              <w:bottom w:val="single" w:sz="6" w:space="0" w:color="auto"/>
              <w:right w:val="single" w:sz="6" w:space="0" w:color="auto"/>
            </w:tcBorders>
          </w:tcPr>
          <w:p w14:paraId="1EC1D47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6,01 w</w:t>
            </w:r>
          </w:p>
        </w:tc>
        <w:tc>
          <w:tcPr>
            <w:tcW w:w="1132" w:type="dxa"/>
            <w:tcBorders>
              <w:top w:val="single" w:sz="6" w:space="0" w:color="auto"/>
              <w:left w:val="single" w:sz="6" w:space="0" w:color="auto"/>
              <w:bottom w:val="single" w:sz="6" w:space="0" w:color="auto"/>
              <w:right w:val="single" w:sz="6" w:space="0" w:color="auto"/>
            </w:tcBorders>
          </w:tcPr>
          <w:p w14:paraId="0D00E53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1,02 w</w:t>
            </w:r>
          </w:p>
        </w:tc>
        <w:tc>
          <w:tcPr>
            <w:tcW w:w="1132" w:type="dxa"/>
            <w:tcBorders>
              <w:top w:val="single" w:sz="6" w:space="0" w:color="auto"/>
              <w:left w:val="single" w:sz="6" w:space="0" w:color="auto"/>
              <w:bottom w:val="single" w:sz="6" w:space="0" w:color="auto"/>
              <w:right w:val="single" w:sz="6" w:space="0" w:color="auto"/>
            </w:tcBorders>
          </w:tcPr>
          <w:p w14:paraId="766594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1,01 w</w:t>
            </w:r>
          </w:p>
        </w:tc>
        <w:tc>
          <w:tcPr>
            <w:tcW w:w="1132" w:type="dxa"/>
            <w:tcBorders>
              <w:top w:val="single" w:sz="6" w:space="0" w:color="auto"/>
              <w:left w:val="single" w:sz="6" w:space="0" w:color="auto"/>
              <w:bottom w:val="single" w:sz="6" w:space="0" w:color="auto"/>
              <w:right w:val="single" w:sz="6" w:space="0" w:color="auto"/>
            </w:tcBorders>
          </w:tcPr>
          <w:p w14:paraId="320628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0,99 w</w:t>
            </w:r>
          </w:p>
        </w:tc>
        <w:tc>
          <w:tcPr>
            <w:tcW w:w="1132" w:type="dxa"/>
            <w:tcBorders>
              <w:top w:val="single" w:sz="6" w:space="0" w:color="auto"/>
              <w:left w:val="single" w:sz="6" w:space="0" w:color="auto"/>
              <w:bottom w:val="single" w:sz="6" w:space="0" w:color="auto"/>
              <w:right w:val="single" w:sz="6" w:space="0" w:color="auto"/>
            </w:tcBorders>
          </w:tcPr>
          <w:p w14:paraId="315A62C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1,00 w</w:t>
            </w:r>
          </w:p>
        </w:tc>
        <w:tc>
          <w:tcPr>
            <w:tcW w:w="1132" w:type="dxa"/>
            <w:tcBorders>
              <w:top w:val="single" w:sz="6" w:space="0" w:color="auto"/>
              <w:left w:val="single" w:sz="6" w:space="0" w:color="auto"/>
              <w:bottom w:val="single" w:sz="6" w:space="0" w:color="auto"/>
              <w:right w:val="single" w:sz="6" w:space="0" w:color="auto"/>
            </w:tcBorders>
          </w:tcPr>
          <w:p w14:paraId="738B4FF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1,00 w</w:t>
            </w:r>
          </w:p>
        </w:tc>
      </w:tr>
      <w:tr w:rsidR="003D4454" w:rsidRPr="00C9671E" w14:paraId="6C66196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E8FECD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Каматна стапка на кредитирање (една година), годишно (%)</w:t>
            </w:r>
          </w:p>
        </w:tc>
        <w:tc>
          <w:tcPr>
            <w:tcW w:w="752" w:type="dxa"/>
            <w:tcBorders>
              <w:top w:val="single" w:sz="6" w:space="0" w:color="auto"/>
              <w:left w:val="single" w:sz="6" w:space="0" w:color="auto"/>
              <w:bottom w:val="single" w:sz="6" w:space="0" w:color="auto"/>
              <w:right w:val="single" w:sz="6" w:space="0" w:color="auto"/>
            </w:tcBorders>
          </w:tcPr>
          <w:p w14:paraId="427CE00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w:t>
            </w:r>
          </w:p>
        </w:tc>
        <w:tc>
          <w:tcPr>
            <w:tcW w:w="946" w:type="dxa"/>
            <w:tcBorders>
              <w:top w:val="single" w:sz="6" w:space="0" w:color="auto"/>
              <w:left w:val="single" w:sz="6" w:space="0" w:color="auto"/>
              <w:bottom w:val="single" w:sz="6" w:space="0" w:color="auto"/>
              <w:right w:val="single" w:sz="6" w:space="0" w:color="auto"/>
            </w:tcBorders>
          </w:tcPr>
          <w:p w14:paraId="4BAC093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10,00 w</w:t>
            </w:r>
          </w:p>
        </w:tc>
        <w:tc>
          <w:tcPr>
            <w:tcW w:w="1132" w:type="dxa"/>
            <w:tcBorders>
              <w:top w:val="single" w:sz="6" w:space="0" w:color="auto"/>
              <w:left w:val="single" w:sz="6" w:space="0" w:color="auto"/>
              <w:bottom w:val="single" w:sz="6" w:space="0" w:color="auto"/>
              <w:right w:val="single" w:sz="6" w:space="0" w:color="auto"/>
            </w:tcBorders>
          </w:tcPr>
          <w:p w14:paraId="21E99F0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4,25 w</w:t>
            </w:r>
          </w:p>
        </w:tc>
        <w:tc>
          <w:tcPr>
            <w:tcW w:w="1132" w:type="dxa"/>
            <w:tcBorders>
              <w:top w:val="single" w:sz="6" w:space="0" w:color="auto"/>
              <w:left w:val="single" w:sz="6" w:space="0" w:color="auto"/>
              <w:bottom w:val="single" w:sz="6" w:space="0" w:color="auto"/>
              <w:right w:val="single" w:sz="6" w:space="0" w:color="auto"/>
            </w:tcBorders>
          </w:tcPr>
          <w:p w14:paraId="1A869D8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3,75 w</w:t>
            </w:r>
          </w:p>
        </w:tc>
        <w:tc>
          <w:tcPr>
            <w:tcW w:w="1132" w:type="dxa"/>
            <w:tcBorders>
              <w:top w:val="single" w:sz="6" w:space="0" w:color="auto"/>
              <w:left w:val="single" w:sz="6" w:space="0" w:color="auto"/>
              <w:bottom w:val="single" w:sz="6" w:space="0" w:color="auto"/>
              <w:right w:val="single" w:sz="6" w:space="0" w:color="auto"/>
            </w:tcBorders>
          </w:tcPr>
          <w:p w14:paraId="3956BAB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3,00 w</w:t>
            </w:r>
          </w:p>
        </w:tc>
        <w:tc>
          <w:tcPr>
            <w:tcW w:w="1132" w:type="dxa"/>
            <w:tcBorders>
              <w:top w:val="single" w:sz="6" w:space="0" w:color="auto"/>
              <w:left w:val="single" w:sz="6" w:space="0" w:color="auto"/>
              <w:bottom w:val="single" w:sz="6" w:space="0" w:color="auto"/>
              <w:right w:val="single" w:sz="6" w:space="0" w:color="auto"/>
            </w:tcBorders>
          </w:tcPr>
          <w:p w14:paraId="4F458A1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2,75 w</w:t>
            </w:r>
          </w:p>
        </w:tc>
        <w:tc>
          <w:tcPr>
            <w:tcW w:w="1132" w:type="dxa"/>
            <w:tcBorders>
              <w:top w:val="single" w:sz="6" w:space="0" w:color="auto"/>
              <w:left w:val="single" w:sz="6" w:space="0" w:color="auto"/>
              <w:bottom w:val="single" w:sz="6" w:space="0" w:color="auto"/>
              <w:right w:val="single" w:sz="6" w:space="0" w:color="auto"/>
            </w:tcBorders>
          </w:tcPr>
          <w:p w14:paraId="39CF9A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 w</w:t>
            </w:r>
          </w:p>
        </w:tc>
      </w:tr>
      <w:tr w:rsidR="003D4454" w:rsidRPr="00C9671E" w14:paraId="23912DB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3E9718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Каматна стапка на депозити (една година), годишно (%)</w:t>
            </w:r>
          </w:p>
        </w:tc>
        <w:tc>
          <w:tcPr>
            <w:tcW w:w="752" w:type="dxa"/>
            <w:tcBorders>
              <w:top w:val="single" w:sz="6" w:space="0" w:color="auto"/>
              <w:left w:val="single" w:sz="6" w:space="0" w:color="auto"/>
              <w:bottom w:val="single" w:sz="6" w:space="0" w:color="auto"/>
              <w:right w:val="single" w:sz="6" w:space="0" w:color="auto"/>
            </w:tcBorders>
          </w:tcPr>
          <w:p w14:paraId="4DB49A6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w:t>
            </w:r>
          </w:p>
        </w:tc>
        <w:tc>
          <w:tcPr>
            <w:tcW w:w="946" w:type="dxa"/>
            <w:tcBorders>
              <w:top w:val="single" w:sz="6" w:space="0" w:color="auto"/>
              <w:left w:val="single" w:sz="6" w:space="0" w:color="auto"/>
              <w:bottom w:val="single" w:sz="6" w:space="0" w:color="auto"/>
              <w:right w:val="single" w:sz="6" w:space="0" w:color="auto"/>
            </w:tcBorders>
          </w:tcPr>
          <w:p w14:paraId="2494969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36226F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0,25 w</w:t>
            </w:r>
          </w:p>
        </w:tc>
        <w:tc>
          <w:tcPr>
            <w:tcW w:w="1132" w:type="dxa"/>
            <w:tcBorders>
              <w:top w:val="single" w:sz="6" w:space="0" w:color="auto"/>
              <w:left w:val="single" w:sz="6" w:space="0" w:color="auto"/>
              <w:bottom w:val="single" w:sz="6" w:space="0" w:color="auto"/>
              <w:right w:val="single" w:sz="6" w:space="0" w:color="auto"/>
            </w:tcBorders>
          </w:tcPr>
          <w:p w14:paraId="177F066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0,25 w</w:t>
            </w:r>
          </w:p>
        </w:tc>
        <w:tc>
          <w:tcPr>
            <w:tcW w:w="1132" w:type="dxa"/>
            <w:tcBorders>
              <w:top w:val="single" w:sz="6" w:space="0" w:color="auto"/>
              <w:left w:val="single" w:sz="6" w:space="0" w:color="auto"/>
              <w:bottom w:val="single" w:sz="6" w:space="0" w:color="auto"/>
              <w:right w:val="single" w:sz="6" w:space="0" w:color="auto"/>
            </w:tcBorders>
          </w:tcPr>
          <w:p w14:paraId="7F25DB0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0,15 w</w:t>
            </w:r>
          </w:p>
        </w:tc>
        <w:tc>
          <w:tcPr>
            <w:tcW w:w="1132" w:type="dxa"/>
            <w:tcBorders>
              <w:top w:val="single" w:sz="6" w:space="0" w:color="auto"/>
              <w:left w:val="single" w:sz="6" w:space="0" w:color="auto"/>
              <w:bottom w:val="single" w:sz="6" w:space="0" w:color="auto"/>
              <w:right w:val="single" w:sz="6" w:space="0" w:color="auto"/>
            </w:tcBorders>
          </w:tcPr>
          <w:p w14:paraId="6A51C4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0,15 w</w:t>
            </w:r>
          </w:p>
        </w:tc>
        <w:tc>
          <w:tcPr>
            <w:tcW w:w="1132" w:type="dxa"/>
            <w:tcBorders>
              <w:top w:val="single" w:sz="6" w:space="0" w:color="auto"/>
              <w:left w:val="single" w:sz="6" w:space="0" w:color="auto"/>
              <w:bottom w:val="single" w:sz="6" w:space="0" w:color="auto"/>
              <w:right w:val="single" w:sz="6" w:space="0" w:color="auto"/>
            </w:tcBorders>
          </w:tcPr>
          <w:p w14:paraId="5DE7E0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0,15 w</w:t>
            </w:r>
          </w:p>
        </w:tc>
      </w:tr>
      <w:tr w:rsidR="003D4454" w:rsidRPr="00C9671E" w14:paraId="28AE73E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393A4D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Девизен курс на еврото: со просечен период (1 евро = … национална валута)</w:t>
            </w:r>
          </w:p>
        </w:tc>
        <w:tc>
          <w:tcPr>
            <w:tcW w:w="752" w:type="dxa"/>
            <w:tcBorders>
              <w:top w:val="single" w:sz="6" w:space="0" w:color="auto"/>
              <w:left w:val="single" w:sz="6" w:space="0" w:color="auto"/>
              <w:bottom w:val="single" w:sz="6" w:space="0" w:color="auto"/>
              <w:right w:val="single" w:sz="6" w:space="0" w:color="auto"/>
            </w:tcBorders>
          </w:tcPr>
          <w:p w14:paraId="222894E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9E4CA2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61,276</w:t>
            </w:r>
          </w:p>
        </w:tc>
        <w:tc>
          <w:tcPr>
            <w:tcW w:w="1132" w:type="dxa"/>
            <w:tcBorders>
              <w:top w:val="single" w:sz="6" w:space="0" w:color="auto"/>
              <w:left w:val="single" w:sz="6" w:space="0" w:color="auto"/>
              <w:bottom w:val="single" w:sz="6" w:space="0" w:color="auto"/>
              <w:right w:val="single" w:sz="6" w:space="0" w:color="auto"/>
            </w:tcBorders>
          </w:tcPr>
          <w:p w14:paraId="292C97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61,596</w:t>
            </w:r>
          </w:p>
        </w:tc>
        <w:tc>
          <w:tcPr>
            <w:tcW w:w="1132" w:type="dxa"/>
            <w:tcBorders>
              <w:top w:val="single" w:sz="6" w:space="0" w:color="auto"/>
              <w:left w:val="single" w:sz="6" w:space="0" w:color="auto"/>
              <w:bottom w:val="single" w:sz="6" w:space="0" w:color="auto"/>
              <w:right w:val="single" w:sz="6" w:space="0" w:color="auto"/>
            </w:tcBorders>
          </w:tcPr>
          <w:p w14:paraId="2EB19FF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61,575</w:t>
            </w:r>
          </w:p>
        </w:tc>
        <w:tc>
          <w:tcPr>
            <w:tcW w:w="1132" w:type="dxa"/>
            <w:tcBorders>
              <w:top w:val="single" w:sz="6" w:space="0" w:color="auto"/>
              <w:left w:val="single" w:sz="6" w:space="0" w:color="auto"/>
              <w:bottom w:val="single" w:sz="6" w:space="0" w:color="auto"/>
              <w:right w:val="single" w:sz="6" w:space="0" w:color="auto"/>
            </w:tcBorders>
          </w:tcPr>
          <w:p w14:paraId="6F5202F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61,512</w:t>
            </w:r>
          </w:p>
        </w:tc>
        <w:tc>
          <w:tcPr>
            <w:tcW w:w="1132" w:type="dxa"/>
            <w:tcBorders>
              <w:top w:val="single" w:sz="6" w:space="0" w:color="auto"/>
              <w:left w:val="single" w:sz="6" w:space="0" w:color="auto"/>
              <w:bottom w:val="single" w:sz="6" w:space="0" w:color="auto"/>
              <w:right w:val="single" w:sz="6" w:space="0" w:color="auto"/>
            </w:tcBorders>
          </w:tcPr>
          <w:p w14:paraId="3849C2A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61,506</w:t>
            </w:r>
          </w:p>
        </w:tc>
        <w:tc>
          <w:tcPr>
            <w:tcW w:w="1132" w:type="dxa"/>
            <w:tcBorders>
              <w:top w:val="single" w:sz="6" w:space="0" w:color="auto"/>
              <w:left w:val="single" w:sz="6" w:space="0" w:color="auto"/>
              <w:bottom w:val="single" w:sz="6" w:space="0" w:color="auto"/>
              <w:right w:val="single" w:sz="6" w:space="0" w:color="auto"/>
            </w:tcBorders>
          </w:tcPr>
          <w:p w14:paraId="00BE898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61,675</w:t>
            </w:r>
          </w:p>
        </w:tc>
      </w:tr>
      <w:tr w:rsidR="003D4454" w:rsidRPr="00C9671E" w14:paraId="55E4A49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7A154C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Индекс на пондериран ефективен девизен курс, 42 земји (2005 = 100)</w:t>
            </w:r>
          </w:p>
        </w:tc>
        <w:tc>
          <w:tcPr>
            <w:tcW w:w="752" w:type="dxa"/>
            <w:tcBorders>
              <w:top w:val="single" w:sz="6" w:space="0" w:color="auto"/>
              <w:left w:val="single" w:sz="6" w:space="0" w:color="auto"/>
              <w:bottom w:val="single" w:sz="6" w:space="0" w:color="auto"/>
              <w:right w:val="single" w:sz="6" w:space="0" w:color="auto"/>
            </w:tcBorders>
          </w:tcPr>
          <w:p w14:paraId="133E8FA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6218E52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01C2F4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44ED1C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ED1582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02F290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C46DEF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2C61000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F8BF0A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**3-годишна промена (Т/Т-3) во пондериран индекс на ефективен девизен курс, од 42 земји (2005 = 100)</w:t>
            </w:r>
          </w:p>
        </w:tc>
        <w:tc>
          <w:tcPr>
            <w:tcW w:w="752" w:type="dxa"/>
            <w:tcBorders>
              <w:top w:val="single" w:sz="6" w:space="0" w:color="auto"/>
              <w:left w:val="single" w:sz="6" w:space="0" w:color="auto"/>
              <w:bottom w:val="single" w:sz="6" w:space="0" w:color="auto"/>
              <w:right w:val="single" w:sz="6" w:space="0" w:color="auto"/>
            </w:tcBorders>
          </w:tcPr>
          <w:p w14:paraId="769D0E4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23A06E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072678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9F11CC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1EA068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A0855F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CD682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5636E9F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04B78D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Вредност на резервни средства (вклучително злато) (во милиони евра)</w:t>
            </w:r>
          </w:p>
        </w:tc>
        <w:tc>
          <w:tcPr>
            <w:tcW w:w="752" w:type="dxa"/>
            <w:tcBorders>
              <w:top w:val="single" w:sz="6" w:space="0" w:color="auto"/>
              <w:left w:val="single" w:sz="6" w:space="0" w:color="auto"/>
              <w:bottom w:val="single" w:sz="6" w:space="0" w:color="auto"/>
              <w:right w:val="single" w:sz="6" w:space="0" w:color="auto"/>
            </w:tcBorders>
          </w:tcPr>
          <w:p w14:paraId="0A68B27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w:t>
            </w:r>
          </w:p>
        </w:tc>
        <w:tc>
          <w:tcPr>
            <w:tcW w:w="946" w:type="dxa"/>
            <w:tcBorders>
              <w:top w:val="single" w:sz="6" w:space="0" w:color="auto"/>
              <w:left w:val="single" w:sz="6" w:space="0" w:color="auto"/>
              <w:bottom w:val="single" w:sz="6" w:space="0" w:color="auto"/>
              <w:right w:val="single" w:sz="6" w:space="0" w:color="auto"/>
            </w:tcBorders>
          </w:tcPr>
          <w:p w14:paraId="6D92721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597,5 w</w:t>
            </w:r>
          </w:p>
        </w:tc>
        <w:tc>
          <w:tcPr>
            <w:tcW w:w="1132" w:type="dxa"/>
            <w:tcBorders>
              <w:top w:val="single" w:sz="6" w:space="0" w:color="auto"/>
              <w:left w:val="single" w:sz="6" w:space="0" w:color="auto"/>
              <w:bottom w:val="single" w:sz="6" w:space="0" w:color="auto"/>
              <w:right w:val="single" w:sz="6" w:space="0" w:color="auto"/>
            </w:tcBorders>
          </w:tcPr>
          <w:p w14:paraId="262EC7E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2.613,4 w</w:t>
            </w:r>
          </w:p>
        </w:tc>
        <w:tc>
          <w:tcPr>
            <w:tcW w:w="1132" w:type="dxa"/>
            <w:tcBorders>
              <w:top w:val="single" w:sz="6" w:space="0" w:color="auto"/>
              <w:left w:val="single" w:sz="6" w:space="0" w:color="auto"/>
              <w:bottom w:val="single" w:sz="6" w:space="0" w:color="auto"/>
              <w:right w:val="single" w:sz="6" w:space="0" w:color="auto"/>
            </w:tcBorders>
          </w:tcPr>
          <w:p w14:paraId="6BB8892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2.336,3 w</w:t>
            </w:r>
          </w:p>
        </w:tc>
        <w:tc>
          <w:tcPr>
            <w:tcW w:w="1132" w:type="dxa"/>
            <w:tcBorders>
              <w:top w:val="single" w:sz="6" w:space="0" w:color="auto"/>
              <w:left w:val="single" w:sz="6" w:space="0" w:color="auto"/>
              <w:bottom w:val="single" w:sz="6" w:space="0" w:color="auto"/>
              <w:right w:val="single" w:sz="6" w:space="0" w:color="auto"/>
            </w:tcBorders>
          </w:tcPr>
          <w:p w14:paraId="217307B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2.867,1 w</w:t>
            </w:r>
          </w:p>
        </w:tc>
        <w:tc>
          <w:tcPr>
            <w:tcW w:w="1132" w:type="dxa"/>
            <w:tcBorders>
              <w:top w:val="single" w:sz="6" w:space="0" w:color="auto"/>
              <w:left w:val="single" w:sz="6" w:space="0" w:color="auto"/>
              <w:bottom w:val="single" w:sz="6" w:space="0" w:color="auto"/>
              <w:right w:val="single" w:sz="6" w:space="0" w:color="auto"/>
            </w:tcBorders>
          </w:tcPr>
          <w:p w14:paraId="54FAFFD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3.262,6 w</w:t>
            </w:r>
          </w:p>
        </w:tc>
        <w:tc>
          <w:tcPr>
            <w:tcW w:w="1132" w:type="dxa"/>
            <w:tcBorders>
              <w:top w:val="single" w:sz="6" w:space="0" w:color="auto"/>
              <w:left w:val="single" w:sz="6" w:space="0" w:color="auto"/>
              <w:bottom w:val="single" w:sz="6" w:space="0" w:color="auto"/>
              <w:right w:val="single" w:sz="6" w:space="0" w:color="auto"/>
            </w:tcBorders>
          </w:tcPr>
          <w:p w14:paraId="3C34F2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3.359,9 w</w:t>
            </w:r>
          </w:p>
        </w:tc>
      </w:tr>
      <w:tr w:rsidR="003D4454" w:rsidRPr="00C9671E" w14:paraId="3F356CEF" w14:textId="77777777" w:rsidTr="00705B41">
        <w:trPr>
          <w:cantSplit/>
          <w:trHeight w:val="223"/>
        </w:trPr>
        <w:tc>
          <w:tcPr>
            <w:tcW w:w="6817" w:type="dxa"/>
            <w:tcBorders>
              <w:top w:val="nil"/>
              <w:left w:val="nil"/>
              <w:bottom w:val="nil"/>
              <w:right w:val="nil"/>
            </w:tcBorders>
          </w:tcPr>
          <w:p w14:paraId="13BA6B4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71B1F4E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530E378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374698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401C1E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2779A0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15D98D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EBE8D0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440A8794" w14:textId="77777777" w:rsidTr="00705B41">
        <w:trPr>
          <w:cantSplit/>
          <w:trHeight w:val="223"/>
        </w:trPr>
        <w:tc>
          <w:tcPr>
            <w:tcW w:w="6817" w:type="dxa"/>
            <w:tcBorders>
              <w:top w:val="nil"/>
              <w:left w:val="nil"/>
              <w:bottom w:val="nil"/>
              <w:right w:val="nil"/>
            </w:tcBorders>
          </w:tcPr>
          <w:p w14:paraId="7FA0DE6B"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Надворешна трговија со стоки</w:t>
            </w:r>
          </w:p>
        </w:tc>
        <w:tc>
          <w:tcPr>
            <w:tcW w:w="752" w:type="dxa"/>
            <w:tcBorders>
              <w:top w:val="single" w:sz="6" w:space="0" w:color="auto"/>
              <w:left w:val="single" w:sz="6" w:space="0" w:color="auto"/>
              <w:bottom w:val="single" w:sz="6" w:space="0" w:color="auto"/>
              <w:right w:val="single" w:sz="6" w:space="0" w:color="auto"/>
            </w:tcBorders>
          </w:tcPr>
          <w:p w14:paraId="5981A7A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5E09AA6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33DA169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50A27AE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045198A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495B1DD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479541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375040D0"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300096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Вредност на увозот: сите стоки, сите партнери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137505E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B6FB70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637</w:t>
            </w:r>
          </w:p>
        </w:tc>
        <w:tc>
          <w:tcPr>
            <w:tcW w:w="1132" w:type="dxa"/>
            <w:tcBorders>
              <w:top w:val="single" w:sz="6" w:space="0" w:color="auto"/>
              <w:left w:val="single" w:sz="6" w:space="0" w:color="auto"/>
              <w:bottom w:val="single" w:sz="6" w:space="0" w:color="auto"/>
              <w:right w:val="single" w:sz="6" w:space="0" w:color="auto"/>
            </w:tcBorders>
          </w:tcPr>
          <w:p w14:paraId="57CD27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6.177</w:t>
            </w:r>
          </w:p>
        </w:tc>
        <w:tc>
          <w:tcPr>
            <w:tcW w:w="1132" w:type="dxa"/>
            <w:tcBorders>
              <w:top w:val="single" w:sz="6" w:space="0" w:color="auto"/>
              <w:left w:val="single" w:sz="6" w:space="0" w:color="auto"/>
              <w:bottom w:val="single" w:sz="6" w:space="0" w:color="auto"/>
              <w:right w:val="single" w:sz="6" w:space="0" w:color="auto"/>
            </w:tcBorders>
          </w:tcPr>
          <w:p w14:paraId="747861D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6.825</w:t>
            </w:r>
          </w:p>
        </w:tc>
        <w:tc>
          <w:tcPr>
            <w:tcW w:w="1132" w:type="dxa"/>
            <w:tcBorders>
              <w:top w:val="single" w:sz="6" w:space="0" w:color="auto"/>
              <w:left w:val="single" w:sz="6" w:space="0" w:color="auto"/>
              <w:bottom w:val="single" w:sz="6" w:space="0" w:color="auto"/>
              <w:right w:val="single" w:sz="6" w:space="0" w:color="auto"/>
            </w:tcBorders>
          </w:tcPr>
          <w:p w14:paraId="494EDD0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7.676</w:t>
            </w:r>
          </w:p>
        </w:tc>
        <w:tc>
          <w:tcPr>
            <w:tcW w:w="1132" w:type="dxa"/>
            <w:tcBorders>
              <w:top w:val="single" w:sz="6" w:space="0" w:color="auto"/>
              <w:left w:val="single" w:sz="6" w:space="0" w:color="auto"/>
              <w:bottom w:val="single" w:sz="6" w:space="0" w:color="auto"/>
              <w:right w:val="single" w:sz="6" w:space="0" w:color="auto"/>
            </w:tcBorders>
          </w:tcPr>
          <w:p w14:paraId="7181767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8.463</w:t>
            </w:r>
          </w:p>
        </w:tc>
        <w:tc>
          <w:tcPr>
            <w:tcW w:w="1132" w:type="dxa"/>
            <w:tcBorders>
              <w:top w:val="single" w:sz="6" w:space="0" w:color="auto"/>
              <w:left w:val="single" w:sz="6" w:space="0" w:color="auto"/>
              <w:bottom w:val="single" w:sz="6" w:space="0" w:color="auto"/>
              <w:right w:val="single" w:sz="6" w:space="0" w:color="auto"/>
            </w:tcBorders>
          </w:tcPr>
          <w:p w14:paraId="0EAA537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7.599</w:t>
            </w:r>
          </w:p>
        </w:tc>
      </w:tr>
      <w:tr w:rsidR="003D4454" w:rsidRPr="00C9671E" w14:paraId="6BA8787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CD343D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Вредност на извозот: сите стоки, сите партнери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6FDDF4C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10566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1.937</w:t>
            </w:r>
          </w:p>
        </w:tc>
        <w:tc>
          <w:tcPr>
            <w:tcW w:w="1132" w:type="dxa"/>
            <w:tcBorders>
              <w:top w:val="single" w:sz="6" w:space="0" w:color="auto"/>
              <w:left w:val="single" w:sz="6" w:space="0" w:color="auto"/>
              <w:bottom w:val="single" w:sz="6" w:space="0" w:color="auto"/>
              <w:right w:val="single" w:sz="6" w:space="0" w:color="auto"/>
            </w:tcBorders>
          </w:tcPr>
          <w:p w14:paraId="37287A5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4.390</w:t>
            </w:r>
          </w:p>
        </w:tc>
        <w:tc>
          <w:tcPr>
            <w:tcW w:w="1132" w:type="dxa"/>
            <w:tcBorders>
              <w:top w:val="single" w:sz="6" w:space="0" w:color="auto"/>
              <w:left w:val="single" w:sz="6" w:space="0" w:color="auto"/>
              <w:bottom w:val="single" w:sz="6" w:space="0" w:color="auto"/>
              <w:right w:val="single" w:sz="6" w:space="0" w:color="auto"/>
            </w:tcBorders>
          </w:tcPr>
          <w:p w14:paraId="26EABE0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5.007</w:t>
            </w:r>
          </w:p>
        </w:tc>
        <w:tc>
          <w:tcPr>
            <w:tcW w:w="1132" w:type="dxa"/>
            <w:tcBorders>
              <w:top w:val="single" w:sz="6" w:space="0" w:color="auto"/>
              <w:left w:val="single" w:sz="6" w:space="0" w:color="auto"/>
              <w:bottom w:val="single" w:sz="6" w:space="0" w:color="auto"/>
              <w:right w:val="single" w:sz="6" w:space="0" w:color="auto"/>
            </w:tcBorders>
          </w:tcPr>
          <w:p w14:paraId="16895C5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5.873</w:t>
            </w:r>
          </w:p>
        </w:tc>
        <w:tc>
          <w:tcPr>
            <w:tcW w:w="1132" w:type="dxa"/>
            <w:tcBorders>
              <w:top w:val="single" w:sz="6" w:space="0" w:color="auto"/>
              <w:left w:val="single" w:sz="6" w:space="0" w:color="auto"/>
              <w:bottom w:val="single" w:sz="6" w:space="0" w:color="auto"/>
              <w:right w:val="single" w:sz="6" w:space="0" w:color="auto"/>
            </w:tcBorders>
          </w:tcPr>
          <w:p w14:paraId="2EA7BC1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6.424</w:t>
            </w:r>
          </w:p>
        </w:tc>
        <w:tc>
          <w:tcPr>
            <w:tcW w:w="1132" w:type="dxa"/>
            <w:tcBorders>
              <w:top w:val="single" w:sz="6" w:space="0" w:color="auto"/>
              <w:left w:val="single" w:sz="6" w:space="0" w:color="auto"/>
              <w:bottom w:val="single" w:sz="6" w:space="0" w:color="auto"/>
              <w:right w:val="single" w:sz="6" w:space="0" w:color="auto"/>
            </w:tcBorders>
          </w:tcPr>
          <w:p w14:paraId="73E6787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5.781</w:t>
            </w:r>
          </w:p>
        </w:tc>
      </w:tr>
      <w:tr w:rsidR="003D4454" w:rsidRPr="00C9671E" w14:paraId="3FA0F85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9219A2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Трговски биланс: сите стоки, сите партнери (во милиони евра)</w:t>
            </w:r>
          </w:p>
        </w:tc>
        <w:tc>
          <w:tcPr>
            <w:tcW w:w="752" w:type="dxa"/>
            <w:tcBorders>
              <w:top w:val="single" w:sz="6" w:space="0" w:color="auto"/>
              <w:left w:val="single" w:sz="6" w:space="0" w:color="auto"/>
              <w:bottom w:val="single" w:sz="6" w:space="0" w:color="auto"/>
              <w:right w:val="single" w:sz="6" w:space="0" w:color="auto"/>
            </w:tcBorders>
          </w:tcPr>
          <w:p w14:paraId="5922F9C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DD4D83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- 1.700</w:t>
            </w:r>
          </w:p>
        </w:tc>
        <w:tc>
          <w:tcPr>
            <w:tcW w:w="1132" w:type="dxa"/>
            <w:tcBorders>
              <w:top w:val="single" w:sz="6" w:space="0" w:color="auto"/>
              <w:left w:val="single" w:sz="6" w:space="0" w:color="auto"/>
              <w:bottom w:val="single" w:sz="6" w:space="0" w:color="auto"/>
              <w:right w:val="single" w:sz="6" w:space="0" w:color="auto"/>
            </w:tcBorders>
          </w:tcPr>
          <w:p w14:paraId="597804D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786</w:t>
            </w:r>
          </w:p>
        </w:tc>
        <w:tc>
          <w:tcPr>
            <w:tcW w:w="1132" w:type="dxa"/>
            <w:tcBorders>
              <w:top w:val="single" w:sz="6" w:space="0" w:color="auto"/>
              <w:left w:val="single" w:sz="6" w:space="0" w:color="auto"/>
              <w:bottom w:val="single" w:sz="6" w:space="0" w:color="auto"/>
              <w:right w:val="single" w:sz="6" w:space="0" w:color="auto"/>
            </w:tcBorders>
          </w:tcPr>
          <w:p w14:paraId="6C5F32F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818</w:t>
            </w:r>
          </w:p>
        </w:tc>
        <w:tc>
          <w:tcPr>
            <w:tcW w:w="1132" w:type="dxa"/>
            <w:tcBorders>
              <w:top w:val="single" w:sz="6" w:space="0" w:color="auto"/>
              <w:left w:val="single" w:sz="6" w:space="0" w:color="auto"/>
              <w:bottom w:val="single" w:sz="6" w:space="0" w:color="auto"/>
              <w:right w:val="single" w:sz="6" w:space="0" w:color="auto"/>
            </w:tcBorders>
          </w:tcPr>
          <w:p w14:paraId="1B329BF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804</w:t>
            </w:r>
          </w:p>
        </w:tc>
        <w:tc>
          <w:tcPr>
            <w:tcW w:w="1132" w:type="dxa"/>
            <w:tcBorders>
              <w:top w:val="single" w:sz="6" w:space="0" w:color="auto"/>
              <w:left w:val="single" w:sz="6" w:space="0" w:color="auto"/>
              <w:bottom w:val="single" w:sz="6" w:space="0" w:color="auto"/>
              <w:right w:val="single" w:sz="6" w:space="0" w:color="auto"/>
            </w:tcBorders>
          </w:tcPr>
          <w:p w14:paraId="7F96777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- 2</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040</w:t>
            </w:r>
          </w:p>
        </w:tc>
        <w:tc>
          <w:tcPr>
            <w:tcW w:w="1132" w:type="dxa"/>
            <w:tcBorders>
              <w:top w:val="single" w:sz="6" w:space="0" w:color="auto"/>
              <w:left w:val="single" w:sz="6" w:space="0" w:color="auto"/>
              <w:bottom w:val="single" w:sz="6" w:space="0" w:color="auto"/>
              <w:right w:val="single" w:sz="6" w:space="0" w:color="auto"/>
            </w:tcBorders>
          </w:tcPr>
          <w:p w14:paraId="4A732D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- 1</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818</w:t>
            </w:r>
          </w:p>
        </w:tc>
      </w:tr>
      <w:tr w:rsidR="003D4454" w:rsidRPr="00C9671E" w14:paraId="5B9ECF2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D6334F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Услови на трговија (ценовен индекс на извозот / ценовен индекс на увозот * 100) (во број)</w:t>
            </w:r>
          </w:p>
        </w:tc>
        <w:tc>
          <w:tcPr>
            <w:tcW w:w="752" w:type="dxa"/>
            <w:tcBorders>
              <w:top w:val="single" w:sz="6" w:space="0" w:color="auto"/>
              <w:left w:val="single" w:sz="6" w:space="0" w:color="auto"/>
              <w:bottom w:val="single" w:sz="6" w:space="0" w:color="auto"/>
              <w:right w:val="single" w:sz="6" w:space="0" w:color="auto"/>
            </w:tcBorders>
          </w:tcPr>
          <w:p w14:paraId="01F38CA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p>
        </w:tc>
        <w:tc>
          <w:tcPr>
            <w:tcW w:w="946" w:type="dxa"/>
            <w:tcBorders>
              <w:top w:val="single" w:sz="6" w:space="0" w:color="auto"/>
              <w:left w:val="single" w:sz="6" w:space="0" w:color="auto"/>
              <w:bottom w:val="single" w:sz="6" w:space="0" w:color="auto"/>
              <w:right w:val="single" w:sz="6" w:space="0" w:color="auto"/>
            </w:tcBorders>
          </w:tcPr>
          <w:p w14:paraId="77686B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96,9 sw</w:t>
            </w:r>
          </w:p>
        </w:tc>
        <w:tc>
          <w:tcPr>
            <w:tcW w:w="1132" w:type="dxa"/>
            <w:tcBorders>
              <w:top w:val="single" w:sz="6" w:space="0" w:color="auto"/>
              <w:left w:val="single" w:sz="6" w:space="0" w:color="auto"/>
              <w:bottom w:val="single" w:sz="6" w:space="0" w:color="auto"/>
              <w:right w:val="single" w:sz="6" w:space="0" w:color="auto"/>
            </w:tcBorders>
          </w:tcPr>
          <w:p w14:paraId="7BDE4B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96,6 sw</w:t>
            </w:r>
          </w:p>
        </w:tc>
        <w:tc>
          <w:tcPr>
            <w:tcW w:w="1132" w:type="dxa"/>
            <w:tcBorders>
              <w:top w:val="single" w:sz="6" w:space="0" w:color="auto"/>
              <w:left w:val="single" w:sz="6" w:space="0" w:color="auto"/>
              <w:bottom w:val="single" w:sz="6" w:space="0" w:color="auto"/>
              <w:right w:val="single" w:sz="6" w:space="0" w:color="auto"/>
            </w:tcBorders>
          </w:tcPr>
          <w:p w14:paraId="1A0AFB4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95,3 sw</w:t>
            </w:r>
          </w:p>
        </w:tc>
        <w:tc>
          <w:tcPr>
            <w:tcW w:w="1132" w:type="dxa"/>
            <w:tcBorders>
              <w:top w:val="single" w:sz="6" w:space="0" w:color="auto"/>
              <w:left w:val="single" w:sz="6" w:space="0" w:color="auto"/>
              <w:bottom w:val="single" w:sz="6" w:space="0" w:color="auto"/>
              <w:right w:val="single" w:sz="6" w:space="0" w:color="auto"/>
            </w:tcBorders>
          </w:tcPr>
          <w:p w14:paraId="32579AC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94,9 sw</w:t>
            </w:r>
          </w:p>
        </w:tc>
        <w:tc>
          <w:tcPr>
            <w:tcW w:w="1132" w:type="dxa"/>
            <w:tcBorders>
              <w:top w:val="single" w:sz="6" w:space="0" w:color="auto"/>
              <w:left w:val="single" w:sz="6" w:space="0" w:color="auto"/>
              <w:bottom w:val="single" w:sz="6" w:space="0" w:color="auto"/>
              <w:right w:val="single" w:sz="6" w:space="0" w:color="auto"/>
            </w:tcBorders>
          </w:tcPr>
          <w:p w14:paraId="65D8B98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6523A9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7FCA314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67E079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Удел на извозот кон земји од ЕУ-27 во вредност од вкупниот извоз (%)</w:t>
            </w:r>
          </w:p>
        </w:tc>
        <w:tc>
          <w:tcPr>
            <w:tcW w:w="752" w:type="dxa"/>
            <w:tcBorders>
              <w:top w:val="single" w:sz="6" w:space="0" w:color="auto"/>
              <w:left w:val="single" w:sz="6" w:space="0" w:color="auto"/>
              <w:bottom w:val="single" w:sz="6" w:space="0" w:color="auto"/>
              <w:right w:val="single" w:sz="6" w:space="0" w:color="auto"/>
            </w:tcBorders>
          </w:tcPr>
          <w:p w14:paraId="5BF753A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A50EEE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60,5 s</w:t>
            </w:r>
          </w:p>
        </w:tc>
        <w:tc>
          <w:tcPr>
            <w:tcW w:w="1132" w:type="dxa"/>
            <w:tcBorders>
              <w:top w:val="single" w:sz="6" w:space="0" w:color="auto"/>
              <w:left w:val="single" w:sz="6" w:space="0" w:color="auto"/>
              <w:bottom w:val="single" w:sz="6" w:space="0" w:color="auto"/>
              <w:right w:val="single" w:sz="6" w:space="0" w:color="auto"/>
            </w:tcBorders>
          </w:tcPr>
          <w:p w14:paraId="4DEB02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78,8 s</w:t>
            </w:r>
          </w:p>
        </w:tc>
        <w:tc>
          <w:tcPr>
            <w:tcW w:w="1132" w:type="dxa"/>
            <w:tcBorders>
              <w:top w:val="single" w:sz="6" w:space="0" w:color="auto"/>
              <w:left w:val="single" w:sz="6" w:space="0" w:color="auto"/>
              <w:bottom w:val="single" w:sz="6" w:space="0" w:color="auto"/>
              <w:right w:val="single" w:sz="6" w:space="0" w:color="auto"/>
            </w:tcBorders>
          </w:tcPr>
          <w:p w14:paraId="4BC4BFC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79,7 s</w:t>
            </w:r>
          </w:p>
        </w:tc>
        <w:tc>
          <w:tcPr>
            <w:tcW w:w="1132" w:type="dxa"/>
            <w:tcBorders>
              <w:top w:val="single" w:sz="6" w:space="0" w:color="auto"/>
              <w:left w:val="single" w:sz="6" w:space="0" w:color="auto"/>
              <w:bottom w:val="single" w:sz="6" w:space="0" w:color="auto"/>
              <w:right w:val="single" w:sz="6" w:space="0" w:color="auto"/>
            </w:tcBorders>
          </w:tcPr>
          <w:p w14:paraId="55FF2E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80,3 s</w:t>
            </w:r>
          </w:p>
        </w:tc>
        <w:tc>
          <w:tcPr>
            <w:tcW w:w="1132" w:type="dxa"/>
            <w:tcBorders>
              <w:top w:val="single" w:sz="6" w:space="0" w:color="auto"/>
              <w:left w:val="single" w:sz="6" w:space="0" w:color="auto"/>
              <w:bottom w:val="single" w:sz="6" w:space="0" w:color="auto"/>
              <w:right w:val="single" w:sz="6" w:space="0" w:color="auto"/>
            </w:tcBorders>
          </w:tcPr>
          <w:p w14:paraId="39ACCCC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78,5 s</w:t>
            </w:r>
          </w:p>
        </w:tc>
        <w:tc>
          <w:tcPr>
            <w:tcW w:w="1132" w:type="dxa"/>
            <w:tcBorders>
              <w:top w:val="single" w:sz="6" w:space="0" w:color="auto"/>
              <w:left w:val="single" w:sz="6" w:space="0" w:color="auto"/>
              <w:bottom w:val="single" w:sz="6" w:space="0" w:color="auto"/>
              <w:right w:val="single" w:sz="6" w:space="0" w:color="auto"/>
            </w:tcBorders>
          </w:tcPr>
          <w:p w14:paraId="3539A7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77,5 s</w:t>
            </w:r>
          </w:p>
        </w:tc>
      </w:tr>
      <w:tr w:rsidR="003D4454" w:rsidRPr="00C9671E" w14:paraId="46CD000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AD15A4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Удел на увозот од земји од ЕУ-27 во вредност од вкупниот увоз (%)</w:t>
            </w:r>
          </w:p>
        </w:tc>
        <w:tc>
          <w:tcPr>
            <w:tcW w:w="752" w:type="dxa"/>
            <w:tcBorders>
              <w:top w:val="single" w:sz="6" w:space="0" w:color="auto"/>
              <w:left w:val="single" w:sz="6" w:space="0" w:color="auto"/>
              <w:bottom w:val="single" w:sz="6" w:space="0" w:color="auto"/>
              <w:right w:val="single" w:sz="6" w:space="0" w:color="auto"/>
            </w:tcBorders>
          </w:tcPr>
          <w:p w14:paraId="1C81BF7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89C333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53,3 s</w:t>
            </w:r>
          </w:p>
        </w:tc>
        <w:tc>
          <w:tcPr>
            <w:tcW w:w="1132" w:type="dxa"/>
            <w:tcBorders>
              <w:top w:val="single" w:sz="6" w:space="0" w:color="auto"/>
              <w:left w:val="single" w:sz="6" w:space="0" w:color="auto"/>
              <w:bottom w:val="single" w:sz="6" w:space="0" w:color="auto"/>
              <w:right w:val="single" w:sz="6" w:space="0" w:color="auto"/>
            </w:tcBorders>
          </w:tcPr>
          <w:p w14:paraId="5B65BB2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51,3 s</w:t>
            </w:r>
          </w:p>
        </w:tc>
        <w:tc>
          <w:tcPr>
            <w:tcW w:w="1132" w:type="dxa"/>
            <w:tcBorders>
              <w:top w:val="single" w:sz="6" w:space="0" w:color="auto"/>
              <w:left w:val="single" w:sz="6" w:space="0" w:color="auto"/>
              <w:bottom w:val="single" w:sz="6" w:space="0" w:color="auto"/>
              <w:right w:val="single" w:sz="6" w:space="0" w:color="auto"/>
            </w:tcBorders>
          </w:tcPr>
          <w:p w14:paraId="68C93F1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52,8 s</w:t>
            </w:r>
          </w:p>
        </w:tc>
        <w:tc>
          <w:tcPr>
            <w:tcW w:w="1132" w:type="dxa"/>
            <w:tcBorders>
              <w:top w:val="single" w:sz="6" w:space="0" w:color="auto"/>
              <w:left w:val="single" w:sz="6" w:space="0" w:color="auto"/>
              <w:bottom w:val="single" w:sz="6" w:space="0" w:color="auto"/>
              <w:right w:val="single" w:sz="6" w:space="0" w:color="auto"/>
            </w:tcBorders>
          </w:tcPr>
          <w:p w14:paraId="0B85A46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52,9 s</w:t>
            </w:r>
          </w:p>
        </w:tc>
        <w:tc>
          <w:tcPr>
            <w:tcW w:w="1132" w:type="dxa"/>
            <w:tcBorders>
              <w:top w:val="single" w:sz="6" w:space="0" w:color="auto"/>
              <w:left w:val="single" w:sz="6" w:space="0" w:color="auto"/>
              <w:bottom w:val="single" w:sz="6" w:space="0" w:color="auto"/>
              <w:right w:val="single" w:sz="6" w:space="0" w:color="auto"/>
            </w:tcBorders>
          </w:tcPr>
          <w:p w14:paraId="2101D25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50,8 s</w:t>
            </w:r>
          </w:p>
        </w:tc>
        <w:tc>
          <w:tcPr>
            <w:tcW w:w="1132" w:type="dxa"/>
            <w:tcBorders>
              <w:top w:val="single" w:sz="6" w:space="0" w:color="auto"/>
              <w:left w:val="single" w:sz="6" w:space="0" w:color="auto"/>
              <w:bottom w:val="single" w:sz="6" w:space="0" w:color="auto"/>
              <w:right w:val="single" w:sz="6" w:space="0" w:color="auto"/>
            </w:tcBorders>
          </w:tcPr>
          <w:p w14:paraId="5DEF779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46,3 s</w:t>
            </w:r>
          </w:p>
        </w:tc>
      </w:tr>
      <w:tr w:rsidR="003D4454" w:rsidRPr="00C9671E" w14:paraId="7E2258AC" w14:textId="77777777" w:rsidTr="00705B41">
        <w:trPr>
          <w:cantSplit/>
          <w:trHeight w:val="223"/>
        </w:trPr>
        <w:tc>
          <w:tcPr>
            <w:tcW w:w="6817" w:type="dxa"/>
            <w:tcBorders>
              <w:top w:val="nil"/>
              <w:left w:val="nil"/>
              <w:bottom w:val="nil"/>
              <w:right w:val="nil"/>
            </w:tcBorders>
          </w:tcPr>
          <w:p w14:paraId="4187E52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156E579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4522261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4A1B7CE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B94314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F33CF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1B134F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649F4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046D9CB4" w14:textId="77777777" w:rsidTr="00705B41">
        <w:trPr>
          <w:cantSplit/>
          <w:trHeight w:val="223"/>
        </w:trPr>
        <w:tc>
          <w:tcPr>
            <w:tcW w:w="6817" w:type="dxa"/>
            <w:tcBorders>
              <w:top w:val="nil"/>
              <w:left w:val="nil"/>
              <w:bottom w:val="nil"/>
              <w:right w:val="nil"/>
            </w:tcBorders>
          </w:tcPr>
          <w:p w14:paraId="06B0B2E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lastRenderedPageBreak/>
              <w:t>Демографија</w:t>
            </w:r>
          </w:p>
        </w:tc>
        <w:tc>
          <w:tcPr>
            <w:tcW w:w="752" w:type="dxa"/>
            <w:tcBorders>
              <w:top w:val="single" w:sz="6" w:space="0" w:color="auto"/>
              <w:left w:val="single" w:sz="6" w:space="0" w:color="auto"/>
              <w:bottom w:val="single" w:sz="6" w:space="0" w:color="auto"/>
              <w:right w:val="single" w:sz="6" w:space="0" w:color="auto"/>
            </w:tcBorders>
          </w:tcPr>
          <w:p w14:paraId="43CCEC1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278903F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4E6A18F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574D57D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4D30645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548754F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66D4953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2F5EF93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C21559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Груба стапка на природна промена на население (природен прираст): број на раѓања минус смртни случаи (на илјада жители)</w:t>
            </w:r>
          </w:p>
        </w:tc>
        <w:tc>
          <w:tcPr>
            <w:tcW w:w="752" w:type="dxa"/>
            <w:tcBorders>
              <w:top w:val="single" w:sz="6" w:space="0" w:color="auto"/>
              <w:left w:val="single" w:sz="6" w:space="0" w:color="auto"/>
              <w:bottom w:val="single" w:sz="6" w:space="0" w:color="auto"/>
              <w:right w:val="single" w:sz="6" w:space="0" w:color="auto"/>
            </w:tcBorders>
          </w:tcPr>
          <w:p w14:paraId="25DC940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A27062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w:t>
            </w:r>
          </w:p>
        </w:tc>
        <w:tc>
          <w:tcPr>
            <w:tcW w:w="1132" w:type="dxa"/>
            <w:tcBorders>
              <w:top w:val="single" w:sz="6" w:space="0" w:color="auto"/>
              <w:left w:val="single" w:sz="6" w:space="0" w:color="auto"/>
              <w:bottom w:val="single" w:sz="6" w:space="0" w:color="auto"/>
              <w:right w:val="single" w:sz="6" w:space="0" w:color="auto"/>
            </w:tcBorders>
          </w:tcPr>
          <w:p w14:paraId="66235EC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w:t>
            </w:r>
          </w:p>
        </w:tc>
        <w:tc>
          <w:tcPr>
            <w:tcW w:w="1132" w:type="dxa"/>
            <w:tcBorders>
              <w:top w:val="single" w:sz="6" w:space="0" w:color="auto"/>
              <w:left w:val="single" w:sz="6" w:space="0" w:color="auto"/>
              <w:bottom w:val="single" w:sz="6" w:space="0" w:color="auto"/>
              <w:right w:val="single" w:sz="6" w:space="0" w:color="auto"/>
            </w:tcBorders>
          </w:tcPr>
          <w:p w14:paraId="75F6FD7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0,7</w:t>
            </w:r>
          </w:p>
        </w:tc>
        <w:tc>
          <w:tcPr>
            <w:tcW w:w="1132" w:type="dxa"/>
            <w:tcBorders>
              <w:top w:val="single" w:sz="6" w:space="0" w:color="auto"/>
              <w:left w:val="single" w:sz="6" w:space="0" w:color="auto"/>
              <w:bottom w:val="single" w:sz="6" w:space="0" w:color="auto"/>
              <w:right w:val="single" w:sz="6" w:space="0" w:color="auto"/>
            </w:tcBorders>
          </w:tcPr>
          <w:p w14:paraId="1F67630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0,8</w:t>
            </w:r>
          </w:p>
        </w:tc>
        <w:tc>
          <w:tcPr>
            <w:tcW w:w="1132" w:type="dxa"/>
            <w:tcBorders>
              <w:top w:val="single" w:sz="6" w:space="0" w:color="auto"/>
              <w:left w:val="single" w:sz="6" w:space="0" w:color="auto"/>
              <w:bottom w:val="single" w:sz="6" w:space="0" w:color="auto"/>
              <w:right w:val="single" w:sz="6" w:space="0" w:color="auto"/>
            </w:tcBorders>
          </w:tcPr>
          <w:p w14:paraId="5C4FBDD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-0,3</w:t>
            </w:r>
          </w:p>
        </w:tc>
        <w:tc>
          <w:tcPr>
            <w:tcW w:w="1132" w:type="dxa"/>
            <w:tcBorders>
              <w:top w:val="single" w:sz="6" w:space="0" w:color="auto"/>
              <w:left w:val="single" w:sz="6" w:space="0" w:color="auto"/>
              <w:bottom w:val="single" w:sz="6" w:space="0" w:color="auto"/>
              <w:right w:val="single" w:sz="6" w:space="0" w:color="auto"/>
            </w:tcBorders>
          </w:tcPr>
          <w:p w14:paraId="7A33C6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w:t>
            </w:r>
          </w:p>
        </w:tc>
      </w:tr>
      <w:tr w:rsidR="003D4454" w:rsidRPr="00C9671E" w14:paraId="270288D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98CBE1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смртност на деца под една година (на 1.000 живородени)</w:t>
            </w:r>
          </w:p>
        </w:tc>
        <w:tc>
          <w:tcPr>
            <w:tcW w:w="752" w:type="dxa"/>
            <w:tcBorders>
              <w:top w:val="single" w:sz="6" w:space="0" w:color="auto"/>
              <w:left w:val="single" w:sz="6" w:space="0" w:color="auto"/>
              <w:bottom w:val="single" w:sz="6" w:space="0" w:color="auto"/>
              <w:right w:val="single" w:sz="6" w:space="0" w:color="auto"/>
            </w:tcBorders>
          </w:tcPr>
          <w:p w14:paraId="5764D71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29C4E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11,7</w:t>
            </w:r>
          </w:p>
        </w:tc>
        <w:tc>
          <w:tcPr>
            <w:tcW w:w="1132" w:type="dxa"/>
            <w:tcBorders>
              <w:top w:val="single" w:sz="6" w:space="0" w:color="auto"/>
              <w:left w:val="single" w:sz="6" w:space="0" w:color="auto"/>
              <w:bottom w:val="single" w:sz="6" w:space="0" w:color="auto"/>
              <w:right w:val="single" w:sz="6" w:space="0" w:color="auto"/>
            </w:tcBorders>
          </w:tcPr>
          <w:p w14:paraId="517565C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11,9</w:t>
            </w:r>
          </w:p>
        </w:tc>
        <w:tc>
          <w:tcPr>
            <w:tcW w:w="1132" w:type="dxa"/>
            <w:tcBorders>
              <w:top w:val="single" w:sz="6" w:space="0" w:color="auto"/>
              <w:left w:val="single" w:sz="6" w:space="0" w:color="auto"/>
              <w:bottom w:val="single" w:sz="6" w:space="0" w:color="auto"/>
              <w:right w:val="single" w:sz="6" w:space="0" w:color="auto"/>
            </w:tcBorders>
          </w:tcPr>
          <w:p w14:paraId="1FCE296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9,2</w:t>
            </w:r>
          </w:p>
        </w:tc>
        <w:tc>
          <w:tcPr>
            <w:tcW w:w="1132" w:type="dxa"/>
            <w:tcBorders>
              <w:top w:val="single" w:sz="6" w:space="0" w:color="auto"/>
              <w:left w:val="single" w:sz="6" w:space="0" w:color="auto"/>
              <w:bottom w:val="single" w:sz="6" w:space="0" w:color="auto"/>
              <w:right w:val="single" w:sz="6" w:space="0" w:color="auto"/>
            </w:tcBorders>
          </w:tcPr>
          <w:p w14:paraId="43184C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w:t>
            </w:r>
          </w:p>
        </w:tc>
        <w:tc>
          <w:tcPr>
            <w:tcW w:w="1132" w:type="dxa"/>
            <w:tcBorders>
              <w:top w:val="single" w:sz="6" w:space="0" w:color="auto"/>
              <w:left w:val="single" w:sz="6" w:space="0" w:color="auto"/>
              <w:bottom w:val="single" w:sz="6" w:space="0" w:color="auto"/>
              <w:right w:val="single" w:sz="6" w:space="0" w:color="auto"/>
            </w:tcBorders>
          </w:tcPr>
          <w:p w14:paraId="16325E0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5,6</w:t>
            </w:r>
          </w:p>
        </w:tc>
        <w:tc>
          <w:tcPr>
            <w:tcW w:w="1132" w:type="dxa"/>
            <w:tcBorders>
              <w:top w:val="single" w:sz="6" w:space="0" w:color="auto"/>
              <w:left w:val="single" w:sz="6" w:space="0" w:color="auto"/>
              <w:bottom w:val="single" w:sz="6" w:space="0" w:color="auto"/>
              <w:right w:val="single" w:sz="6" w:space="0" w:color="auto"/>
            </w:tcBorders>
          </w:tcPr>
          <w:p w14:paraId="254D715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w:t>
            </w:r>
          </w:p>
        </w:tc>
      </w:tr>
      <w:tr w:rsidR="003D4454" w:rsidRPr="00C9671E" w14:paraId="590B839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748D00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Животен век при раѓање: мажи (години)</w:t>
            </w:r>
          </w:p>
        </w:tc>
        <w:tc>
          <w:tcPr>
            <w:tcW w:w="752" w:type="dxa"/>
            <w:tcBorders>
              <w:top w:val="single" w:sz="6" w:space="0" w:color="auto"/>
              <w:left w:val="single" w:sz="6" w:space="0" w:color="auto"/>
              <w:bottom w:val="single" w:sz="6" w:space="0" w:color="auto"/>
              <w:right w:val="single" w:sz="6" w:space="0" w:color="auto"/>
            </w:tcBorders>
          </w:tcPr>
          <w:p w14:paraId="2F61D5F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75B3A4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72,3</w:t>
            </w:r>
          </w:p>
        </w:tc>
        <w:tc>
          <w:tcPr>
            <w:tcW w:w="1132" w:type="dxa"/>
            <w:tcBorders>
              <w:top w:val="single" w:sz="6" w:space="0" w:color="auto"/>
              <w:left w:val="single" w:sz="6" w:space="0" w:color="auto"/>
              <w:bottom w:val="single" w:sz="6" w:space="0" w:color="auto"/>
              <w:right w:val="single" w:sz="6" w:space="0" w:color="auto"/>
            </w:tcBorders>
          </w:tcPr>
          <w:p w14:paraId="61D6A64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73,4</w:t>
            </w:r>
          </w:p>
        </w:tc>
        <w:tc>
          <w:tcPr>
            <w:tcW w:w="1132" w:type="dxa"/>
            <w:tcBorders>
              <w:top w:val="single" w:sz="6" w:space="0" w:color="auto"/>
              <w:left w:val="single" w:sz="6" w:space="0" w:color="auto"/>
              <w:bottom w:val="single" w:sz="6" w:space="0" w:color="auto"/>
              <w:right w:val="single" w:sz="6" w:space="0" w:color="auto"/>
            </w:tcBorders>
          </w:tcPr>
          <w:p w14:paraId="02B6DE4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74,1</w:t>
            </w:r>
          </w:p>
        </w:tc>
        <w:tc>
          <w:tcPr>
            <w:tcW w:w="1132" w:type="dxa"/>
            <w:tcBorders>
              <w:top w:val="single" w:sz="6" w:space="0" w:color="auto"/>
              <w:left w:val="single" w:sz="6" w:space="0" w:color="auto"/>
              <w:bottom w:val="single" w:sz="6" w:space="0" w:color="auto"/>
              <w:right w:val="single" w:sz="6" w:space="0" w:color="auto"/>
            </w:tcBorders>
          </w:tcPr>
          <w:p w14:paraId="3C78DD8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74,6</w:t>
            </w:r>
          </w:p>
        </w:tc>
        <w:tc>
          <w:tcPr>
            <w:tcW w:w="1132" w:type="dxa"/>
            <w:tcBorders>
              <w:top w:val="single" w:sz="6" w:space="0" w:color="auto"/>
              <w:left w:val="single" w:sz="6" w:space="0" w:color="auto"/>
              <w:bottom w:val="single" w:sz="6" w:space="0" w:color="auto"/>
              <w:right w:val="single" w:sz="6" w:space="0" w:color="auto"/>
            </w:tcBorders>
          </w:tcPr>
          <w:p w14:paraId="03D8025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74,7</w:t>
            </w:r>
          </w:p>
        </w:tc>
        <w:tc>
          <w:tcPr>
            <w:tcW w:w="1132" w:type="dxa"/>
            <w:tcBorders>
              <w:top w:val="single" w:sz="6" w:space="0" w:color="auto"/>
              <w:left w:val="single" w:sz="6" w:space="0" w:color="auto"/>
              <w:bottom w:val="single" w:sz="6" w:space="0" w:color="auto"/>
              <w:right w:val="single" w:sz="6" w:space="0" w:color="auto"/>
            </w:tcBorders>
          </w:tcPr>
          <w:p w14:paraId="10DF13E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72,2</w:t>
            </w:r>
          </w:p>
        </w:tc>
      </w:tr>
      <w:tr w:rsidR="003D4454" w:rsidRPr="00C9671E" w14:paraId="0C624E5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9C54A8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Животен век при раѓање: жени (години)</w:t>
            </w:r>
          </w:p>
        </w:tc>
        <w:tc>
          <w:tcPr>
            <w:tcW w:w="752" w:type="dxa"/>
            <w:tcBorders>
              <w:top w:val="single" w:sz="6" w:space="0" w:color="auto"/>
              <w:left w:val="single" w:sz="6" w:space="0" w:color="auto"/>
              <w:bottom w:val="single" w:sz="6" w:space="0" w:color="auto"/>
              <w:right w:val="single" w:sz="6" w:space="0" w:color="auto"/>
            </w:tcBorders>
          </w:tcPr>
          <w:p w14:paraId="10C8AF6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DFDC92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76,7</w:t>
            </w:r>
          </w:p>
        </w:tc>
        <w:tc>
          <w:tcPr>
            <w:tcW w:w="1132" w:type="dxa"/>
            <w:tcBorders>
              <w:top w:val="single" w:sz="6" w:space="0" w:color="auto"/>
              <w:left w:val="single" w:sz="6" w:space="0" w:color="auto"/>
              <w:bottom w:val="single" w:sz="6" w:space="0" w:color="auto"/>
              <w:right w:val="single" w:sz="6" w:space="0" w:color="auto"/>
            </w:tcBorders>
          </w:tcPr>
          <w:p w14:paraId="0C1AA2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77,5</w:t>
            </w:r>
          </w:p>
        </w:tc>
        <w:tc>
          <w:tcPr>
            <w:tcW w:w="1132" w:type="dxa"/>
            <w:tcBorders>
              <w:top w:val="single" w:sz="6" w:space="0" w:color="auto"/>
              <w:left w:val="single" w:sz="6" w:space="0" w:color="auto"/>
              <w:bottom w:val="single" w:sz="6" w:space="0" w:color="auto"/>
              <w:right w:val="single" w:sz="6" w:space="0" w:color="auto"/>
            </w:tcBorders>
          </w:tcPr>
          <w:p w14:paraId="74DDBCA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77,9</w:t>
            </w:r>
          </w:p>
        </w:tc>
        <w:tc>
          <w:tcPr>
            <w:tcW w:w="1132" w:type="dxa"/>
            <w:tcBorders>
              <w:top w:val="single" w:sz="6" w:space="0" w:color="auto"/>
              <w:left w:val="single" w:sz="6" w:space="0" w:color="auto"/>
              <w:bottom w:val="single" w:sz="6" w:space="0" w:color="auto"/>
              <w:right w:val="single" w:sz="6" w:space="0" w:color="auto"/>
            </w:tcBorders>
          </w:tcPr>
          <w:p w14:paraId="799B150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78,8</w:t>
            </w:r>
          </w:p>
        </w:tc>
        <w:tc>
          <w:tcPr>
            <w:tcW w:w="1132" w:type="dxa"/>
            <w:tcBorders>
              <w:top w:val="single" w:sz="6" w:space="0" w:color="auto"/>
              <w:left w:val="single" w:sz="6" w:space="0" w:color="auto"/>
              <w:bottom w:val="single" w:sz="6" w:space="0" w:color="auto"/>
              <w:right w:val="single" w:sz="6" w:space="0" w:color="auto"/>
            </w:tcBorders>
          </w:tcPr>
          <w:p w14:paraId="4D83918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78,6</w:t>
            </w:r>
          </w:p>
        </w:tc>
        <w:tc>
          <w:tcPr>
            <w:tcW w:w="1132" w:type="dxa"/>
            <w:tcBorders>
              <w:top w:val="single" w:sz="6" w:space="0" w:color="auto"/>
              <w:left w:val="single" w:sz="6" w:space="0" w:color="auto"/>
              <w:bottom w:val="single" w:sz="6" w:space="0" w:color="auto"/>
              <w:right w:val="single" w:sz="6" w:space="0" w:color="auto"/>
            </w:tcBorders>
          </w:tcPr>
          <w:p w14:paraId="4B72C0F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76,7</w:t>
            </w:r>
          </w:p>
        </w:tc>
      </w:tr>
      <w:tr w:rsidR="003D4454" w:rsidRPr="00C9671E" w14:paraId="1FC7D933" w14:textId="77777777" w:rsidTr="00705B41">
        <w:trPr>
          <w:cantSplit/>
          <w:trHeight w:val="223"/>
        </w:trPr>
        <w:tc>
          <w:tcPr>
            <w:tcW w:w="6817" w:type="dxa"/>
            <w:tcBorders>
              <w:top w:val="nil"/>
              <w:left w:val="nil"/>
              <w:bottom w:val="nil"/>
              <w:right w:val="nil"/>
            </w:tcBorders>
          </w:tcPr>
          <w:p w14:paraId="3263AAA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3495D29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72BC6DC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41CC485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500959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278779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29171C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0C63AB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29E18172" w14:textId="77777777" w:rsidTr="00705B41">
        <w:trPr>
          <w:cantSplit/>
          <w:trHeight w:val="223"/>
        </w:trPr>
        <w:tc>
          <w:tcPr>
            <w:tcW w:w="6817" w:type="dxa"/>
            <w:tcBorders>
              <w:top w:val="nil"/>
              <w:left w:val="nil"/>
              <w:bottom w:val="nil"/>
              <w:right w:val="nil"/>
            </w:tcBorders>
          </w:tcPr>
          <w:p w14:paraId="50E4350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Пазар на труд</w:t>
            </w:r>
          </w:p>
        </w:tc>
        <w:tc>
          <w:tcPr>
            <w:tcW w:w="752" w:type="dxa"/>
            <w:tcBorders>
              <w:top w:val="single" w:sz="6" w:space="0" w:color="auto"/>
              <w:left w:val="single" w:sz="6" w:space="0" w:color="auto"/>
              <w:bottom w:val="single" w:sz="6" w:space="0" w:color="auto"/>
              <w:right w:val="single" w:sz="6" w:space="0" w:color="auto"/>
            </w:tcBorders>
          </w:tcPr>
          <w:p w14:paraId="5DD2E33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7E62E1F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32836A5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7692781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6C1531C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0423F7E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72EA844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316AA335"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B2FAA6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стопанска активност за лица на возраст од 20 до 64 години: сооднос на населението на возраст од 20 до 64 години, кое е работоспособно (%)</w:t>
            </w:r>
          </w:p>
        </w:tc>
        <w:tc>
          <w:tcPr>
            <w:tcW w:w="752" w:type="dxa"/>
            <w:tcBorders>
              <w:top w:val="single" w:sz="6" w:space="0" w:color="auto"/>
              <w:left w:val="single" w:sz="6" w:space="0" w:color="auto"/>
              <w:bottom w:val="single" w:sz="6" w:space="0" w:color="auto"/>
              <w:right w:val="single" w:sz="6" w:space="0" w:color="auto"/>
            </w:tcBorders>
          </w:tcPr>
          <w:p w14:paraId="7EA865B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D53F25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70,1</w:t>
            </w:r>
          </w:p>
        </w:tc>
        <w:tc>
          <w:tcPr>
            <w:tcW w:w="1132" w:type="dxa"/>
            <w:tcBorders>
              <w:top w:val="single" w:sz="6" w:space="0" w:color="auto"/>
              <w:left w:val="single" w:sz="6" w:space="0" w:color="auto"/>
              <w:bottom w:val="single" w:sz="6" w:space="0" w:color="auto"/>
              <w:right w:val="single" w:sz="6" w:space="0" w:color="auto"/>
            </w:tcBorders>
          </w:tcPr>
          <w:p w14:paraId="388465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69,6</w:t>
            </w:r>
          </w:p>
        </w:tc>
        <w:tc>
          <w:tcPr>
            <w:tcW w:w="1132" w:type="dxa"/>
            <w:tcBorders>
              <w:top w:val="single" w:sz="6" w:space="0" w:color="auto"/>
              <w:left w:val="single" w:sz="6" w:space="0" w:color="auto"/>
              <w:bottom w:val="single" w:sz="6" w:space="0" w:color="auto"/>
              <w:right w:val="single" w:sz="6" w:space="0" w:color="auto"/>
            </w:tcBorders>
          </w:tcPr>
          <w:p w14:paraId="4A2ED3D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70,3</w:t>
            </w:r>
          </w:p>
        </w:tc>
        <w:tc>
          <w:tcPr>
            <w:tcW w:w="1132" w:type="dxa"/>
            <w:tcBorders>
              <w:top w:val="single" w:sz="6" w:space="0" w:color="auto"/>
              <w:left w:val="single" w:sz="6" w:space="0" w:color="auto"/>
              <w:bottom w:val="single" w:sz="6" w:space="0" w:color="auto"/>
              <w:right w:val="single" w:sz="6" w:space="0" w:color="auto"/>
            </w:tcBorders>
          </w:tcPr>
          <w:p w14:paraId="0182115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70,4</w:t>
            </w:r>
          </w:p>
        </w:tc>
        <w:tc>
          <w:tcPr>
            <w:tcW w:w="1132" w:type="dxa"/>
            <w:tcBorders>
              <w:top w:val="single" w:sz="6" w:space="0" w:color="auto"/>
              <w:left w:val="single" w:sz="6" w:space="0" w:color="auto"/>
              <w:bottom w:val="single" w:sz="6" w:space="0" w:color="auto"/>
              <w:right w:val="single" w:sz="6" w:space="0" w:color="auto"/>
            </w:tcBorders>
          </w:tcPr>
          <w:p w14:paraId="75E0D4F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71,5</w:t>
            </w:r>
          </w:p>
        </w:tc>
        <w:tc>
          <w:tcPr>
            <w:tcW w:w="1132" w:type="dxa"/>
            <w:tcBorders>
              <w:top w:val="single" w:sz="6" w:space="0" w:color="auto"/>
              <w:left w:val="single" w:sz="6" w:space="0" w:color="auto"/>
              <w:bottom w:val="single" w:sz="6" w:space="0" w:color="auto"/>
              <w:right w:val="single" w:sz="6" w:space="0" w:color="auto"/>
            </w:tcBorders>
          </w:tcPr>
          <w:p w14:paraId="4D5783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70,5</w:t>
            </w:r>
          </w:p>
        </w:tc>
      </w:tr>
      <w:tr w:rsidR="003D4454" w:rsidRPr="00C9671E" w14:paraId="433C1E1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303EDA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вработеност за лица на возраст од 20 до 64 години: сооднос на населението на возраст од 20 до 64 години кое е работоспособно (%)</w:t>
            </w:r>
          </w:p>
        </w:tc>
        <w:tc>
          <w:tcPr>
            <w:tcW w:w="752" w:type="dxa"/>
            <w:tcBorders>
              <w:top w:val="single" w:sz="6" w:space="0" w:color="auto"/>
              <w:left w:val="single" w:sz="6" w:space="0" w:color="auto"/>
              <w:bottom w:val="single" w:sz="6" w:space="0" w:color="auto"/>
              <w:right w:val="single" w:sz="6" w:space="0" w:color="auto"/>
            </w:tcBorders>
          </w:tcPr>
          <w:p w14:paraId="28C067B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856FD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47,9</w:t>
            </w:r>
          </w:p>
        </w:tc>
        <w:tc>
          <w:tcPr>
            <w:tcW w:w="1132" w:type="dxa"/>
            <w:tcBorders>
              <w:top w:val="single" w:sz="6" w:space="0" w:color="auto"/>
              <w:left w:val="single" w:sz="6" w:space="0" w:color="auto"/>
              <w:bottom w:val="single" w:sz="6" w:space="0" w:color="auto"/>
              <w:right w:val="single" w:sz="6" w:space="0" w:color="auto"/>
            </w:tcBorders>
          </w:tcPr>
          <w:p w14:paraId="3C4A7EB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53,3</w:t>
            </w:r>
          </w:p>
        </w:tc>
        <w:tc>
          <w:tcPr>
            <w:tcW w:w="1132" w:type="dxa"/>
            <w:tcBorders>
              <w:top w:val="single" w:sz="6" w:space="0" w:color="auto"/>
              <w:left w:val="single" w:sz="6" w:space="0" w:color="auto"/>
              <w:bottom w:val="single" w:sz="6" w:space="0" w:color="auto"/>
              <w:right w:val="single" w:sz="6" w:space="0" w:color="auto"/>
            </w:tcBorders>
          </w:tcPr>
          <w:p w14:paraId="10EC00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54,8</w:t>
            </w:r>
          </w:p>
        </w:tc>
        <w:tc>
          <w:tcPr>
            <w:tcW w:w="1132" w:type="dxa"/>
            <w:tcBorders>
              <w:top w:val="single" w:sz="6" w:space="0" w:color="auto"/>
              <w:left w:val="single" w:sz="6" w:space="0" w:color="auto"/>
              <w:bottom w:val="single" w:sz="6" w:space="0" w:color="auto"/>
              <w:right w:val="single" w:sz="6" w:space="0" w:color="auto"/>
            </w:tcBorders>
          </w:tcPr>
          <w:p w14:paraId="48E10BA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56,1</w:t>
            </w:r>
          </w:p>
        </w:tc>
        <w:tc>
          <w:tcPr>
            <w:tcW w:w="1132" w:type="dxa"/>
            <w:tcBorders>
              <w:top w:val="single" w:sz="6" w:space="0" w:color="auto"/>
              <w:left w:val="single" w:sz="6" w:space="0" w:color="auto"/>
              <w:bottom w:val="single" w:sz="6" w:space="0" w:color="auto"/>
              <w:right w:val="single" w:sz="6" w:space="0" w:color="auto"/>
            </w:tcBorders>
          </w:tcPr>
          <w:p w14:paraId="7C883C4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59,2</w:t>
            </w:r>
          </w:p>
        </w:tc>
        <w:tc>
          <w:tcPr>
            <w:tcW w:w="1132" w:type="dxa"/>
            <w:tcBorders>
              <w:top w:val="single" w:sz="6" w:space="0" w:color="auto"/>
              <w:left w:val="single" w:sz="6" w:space="0" w:color="auto"/>
              <w:bottom w:val="single" w:sz="6" w:space="0" w:color="auto"/>
              <w:right w:val="single" w:sz="6" w:space="0" w:color="auto"/>
            </w:tcBorders>
          </w:tcPr>
          <w:p w14:paraId="117EA99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59,1</w:t>
            </w:r>
          </w:p>
        </w:tc>
      </w:tr>
      <w:tr w:rsidR="003D4454" w:rsidRPr="00C9671E" w14:paraId="344EF22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45ACF8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вработеност на мажи на возраст од 20 до 64 години (%)</w:t>
            </w:r>
          </w:p>
        </w:tc>
        <w:tc>
          <w:tcPr>
            <w:tcW w:w="752" w:type="dxa"/>
            <w:tcBorders>
              <w:top w:val="single" w:sz="6" w:space="0" w:color="auto"/>
              <w:left w:val="single" w:sz="6" w:space="0" w:color="auto"/>
              <w:bottom w:val="single" w:sz="6" w:space="0" w:color="auto"/>
              <w:right w:val="single" w:sz="6" w:space="0" w:color="auto"/>
            </w:tcBorders>
          </w:tcPr>
          <w:p w14:paraId="5AD7C42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28D1E3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58,4</w:t>
            </w:r>
          </w:p>
        </w:tc>
        <w:tc>
          <w:tcPr>
            <w:tcW w:w="1132" w:type="dxa"/>
            <w:tcBorders>
              <w:top w:val="single" w:sz="6" w:space="0" w:color="auto"/>
              <w:left w:val="single" w:sz="6" w:space="0" w:color="auto"/>
              <w:bottom w:val="single" w:sz="6" w:space="0" w:color="auto"/>
              <w:right w:val="single" w:sz="6" w:space="0" w:color="auto"/>
            </w:tcBorders>
          </w:tcPr>
          <w:p w14:paraId="1ACC8B6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63,7</w:t>
            </w:r>
          </w:p>
        </w:tc>
        <w:tc>
          <w:tcPr>
            <w:tcW w:w="1132" w:type="dxa"/>
            <w:tcBorders>
              <w:top w:val="single" w:sz="6" w:space="0" w:color="auto"/>
              <w:left w:val="single" w:sz="6" w:space="0" w:color="auto"/>
              <w:bottom w:val="single" w:sz="6" w:space="0" w:color="auto"/>
              <w:right w:val="single" w:sz="6" w:space="0" w:color="auto"/>
            </w:tcBorders>
          </w:tcPr>
          <w:p w14:paraId="340CD87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65,6</w:t>
            </w:r>
          </w:p>
        </w:tc>
        <w:tc>
          <w:tcPr>
            <w:tcW w:w="1132" w:type="dxa"/>
            <w:tcBorders>
              <w:top w:val="single" w:sz="6" w:space="0" w:color="auto"/>
              <w:left w:val="single" w:sz="6" w:space="0" w:color="auto"/>
              <w:bottom w:val="single" w:sz="6" w:space="0" w:color="auto"/>
              <w:right w:val="single" w:sz="6" w:space="0" w:color="auto"/>
            </w:tcBorders>
          </w:tcPr>
          <w:p w14:paraId="6BD841B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66,6</w:t>
            </w:r>
          </w:p>
        </w:tc>
        <w:tc>
          <w:tcPr>
            <w:tcW w:w="1132" w:type="dxa"/>
            <w:tcBorders>
              <w:top w:val="single" w:sz="6" w:space="0" w:color="auto"/>
              <w:left w:val="single" w:sz="6" w:space="0" w:color="auto"/>
              <w:bottom w:val="single" w:sz="6" w:space="0" w:color="auto"/>
              <w:right w:val="single" w:sz="6" w:space="0" w:color="auto"/>
            </w:tcBorders>
          </w:tcPr>
          <w:p w14:paraId="625DDB1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69,7</w:t>
            </w:r>
          </w:p>
        </w:tc>
        <w:tc>
          <w:tcPr>
            <w:tcW w:w="1132" w:type="dxa"/>
            <w:tcBorders>
              <w:top w:val="single" w:sz="6" w:space="0" w:color="auto"/>
              <w:left w:val="single" w:sz="6" w:space="0" w:color="auto"/>
              <w:bottom w:val="single" w:sz="6" w:space="0" w:color="auto"/>
              <w:right w:val="single" w:sz="6" w:space="0" w:color="auto"/>
            </w:tcBorders>
          </w:tcPr>
          <w:p w14:paraId="45AA60C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68,9</w:t>
            </w:r>
          </w:p>
        </w:tc>
      </w:tr>
      <w:tr w:rsidR="003D4454" w:rsidRPr="00C9671E" w14:paraId="4BB98C4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3ACAFC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Стапка на вработеност на жени на возраст од 20 до 64 години (%)</w:t>
            </w:r>
          </w:p>
        </w:tc>
        <w:tc>
          <w:tcPr>
            <w:tcW w:w="752" w:type="dxa"/>
            <w:tcBorders>
              <w:top w:val="single" w:sz="6" w:space="0" w:color="auto"/>
              <w:left w:val="single" w:sz="6" w:space="0" w:color="auto"/>
              <w:bottom w:val="single" w:sz="6" w:space="0" w:color="auto"/>
              <w:right w:val="single" w:sz="6" w:space="0" w:color="auto"/>
            </w:tcBorders>
          </w:tcPr>
          <w:p w14:paraId="22E0A84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FA3B7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37,1</w:t>
            </w:r>
          </w:p>
        </w:tc>
        <w:tc>
          <w:tcPr>
            <w:tcW w:w="1132" w:type="dxa"/>
            <w:tcBorders>
              <w:top w:val="single" w:sz="6" w:space="0" w:color="auto"/>
              <w:left w:val="single" w:sz="6" w:space="0" w:color="auto"/>
              <w:bottom w:val="single" w:sz="6" w:space="0" w:color="auto"/>
              <w:right w:val="single" w:sz="6" w:space="0" w:color="auto"/>
            </w:tcBorders>
          </w:tcPr>
          <w:p w14:paraId="66C68D2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42,5</w:t>
            </w:r>
          </w:p>
        </w:tc>
        <w:tc>
          <w:tcPr>
            <w:tcW w:w="1132" w:type="dxa"/>
            <w:tcBorders>
              <w:top w:val="single" w:sz="6" w:space="0" w:color="auto"/>
              <w:left w:val="single" w:sz="6" w:space="0" w:color="auto"/>
              <w:bottom w:val="single" w:sz="6" w:space="0" w:color="auto"/>
              <w:right w:val="single" w:sz="6" w:space="0" w:color="auto"/>
            </w:tcBorders>
          </w:tcPr>
          <w:p w14:paraId="6A2293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43,7</w:t>
            </w:r>
          </w:p>
        </w:tc>
        <w:tc>
          <w:tcPr>
            <w:tcW w:w="1132" w:type="dxa"/>
            <w:tcBorders>
              <w:top w:val="single" w:sz="6" w:space="0" w:color="auto"/>
              <w:left w:val="single" w:sz="6" w:space="0" w:color="auto"/>
              <w:bottom w:val="single" w:sz="6" w:space="0" w:color="auto"/>
              <w:right w:val="single" w:sz="6" w:space="0" w:color="auto"/>
            </w:tcBorders>
          </w:tcPr>
          <w:p w14:paraId="4B8ADA2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45,2</w:t>
            </w:r>
          </w:p>
        </w:tc>
        <w:tc>
          <w:tcPr>
            <w:tcW w:w="1132" w:type="dxa"/>
            <w:tcBorders>
              <w:top w:val="single" w:sz="6" w:space="0" w:color="auto"/>
              <w:left w:val="single" w:sz="6" w:space="0" w:color="auto"/>
              <w:bottom w:val="single" w:sz="6" w:space="0" w:color="auto"/>
              <w:right w:val="single" w:sz="6" w:space="0" w:color="auto"/>
            </w:tcBorders>
          </w:tcPr>
          <w:p w14:paraId="28E00D3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48,4</w:t>
            </w:r>
          </w:p>
        </w:tc>
        <w:tc>
          <w:tcPr>
            <w:tcW w:w="1132" w:type="dxa"/>
            <w:tcBorders>
              <w:top w:val="single" w:sz="6" w:space="0" w:color="auto"/>
              <w:left w:val="single" w:sz="6" w:space="0" w:color="auto"/>
              <w:bottom w:val="single" w:sz="6" w:space="0" w:color="auto"/>
              <w:right w:val="single" w:sz="6" w:space="0" w:color="auto"/>
            </w:tcBorders>
          </w:tcPr>
          <w:p w14:paraId="3667EB4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49,0</w:t>
            </w:r>
          </w:p>
        </w:tc>
      </w:tr>
      <w:tr w:rsidR="003D4454" w:rsidRPr="00C9671E" w14:paraId="53CF486B"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8488F2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вработеност за лица на возраст од 55 до 64 години: сооднос на населението на возраст од 55 до 64 години кое е работоспособно (%)</w:t>
            </w:r>
          </w:p>
        </w:tc>
        <w:tc>
          <w:tcPr>
            <w:tcW w:w="752" w:type="dxa"/>
            <w:tcBorders>
              <w:top w:val="single" w:sz="6" w:space="0" w:color="auto"/>
              <w:left w:val="single" w:sz="6" w:space="0" w:color="auto"/>
              <w:bottom w:val="single" w:sz="6" w:space="0" w:color="auto"/>
              <w:right w:val="single" w:sz="6" w:space="0" w:color="auto"/>
            </w:tcBorders>
          </w:tcPr>
          <w:p w14:paraId="02A8F748"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723416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34,6</w:t>
            </w:r>
          </w:p>
        </w:tc>
        <w:tc>
          <w:tcPr>
            <w:tcW w:w="1132" w:type="dxa"/>
            <w:tcBorders>
              <w:top w:val="single" w:sz="6" w:space="0" w:color="auto"/>
              <w:left w:val="single" w:sz="6" w:space="0" w:color="auto"/>
              <w:bottom w:val="single" w:sz="6" w:space="0" w:color="auto"/>
              <w:right w:val="single" w:sz="6" w:space="0" w:color="auto"/>
            </w:tcBorders>
          </w:tcPr>
          <w:p w14:paraId="0E90C16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40,7</w:t>
            </w:r>
          </w:p>
        </w:tc>
        <w:tc>
          <w:tcPr>
            <w:tcW w:w="1132" w:type="dxa"/>
            <w:tcBorders>
              <w:top w:val="single" w:sz="6" w:space="0" w:color="auto"/>
              <w:left w:val="single" w:sz="6" w:space="0" w:color="auto"/>
              <w:bottom w:val="single" w:sz="6" w:space="0" w:color="auto"/>
              <w:right w:val="single" w:sz="6" w:space="0" w:color="auto"/>
            </w:tcBorders>
          </w:tcPr>
          <w:p w14:paraId="62581A4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41,4</w:t>
            </w:r>
          </w:p>
        </w:tc>
        <w:tc>
          <w:tcPr>
            <w:tcW w:w="1132" w:type="dxa"/>
            <w:tcBorders>
              <w:top w:val="single" w:sz="6" w:space="0" w:color="auto"/>
              <w:left w:val="single" w:sz="6" w:space="0" w:color="auto"/>
              <w:bottom w:val="single" w:sz="6" w:space="0" w:color="auto"/>
              <w:right w:val="single" w:sz="6" w:space="0" w:color="auto"/>
            </w:tcBorders>
          </w:tcPr>
          <w:p w14:paraId="68F506C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42,7</w:t>
            </w:r>
          </w:p>
        </w:tc>
        <w:tc>
          <w:tcPr>
            <w:tcW w:w="1132" w:type="dxa"/>
            <w:tcBorders>
              <w:top w:val="single" w:sz="6" w:space="0" w:color="auto"/>
              <w:left w:val="single" w:sz="6" w:space="0" w:color="auto"/>
              <w:bottom w:val="single" w:sz="6" w:space="0" w:color="auto"/>
              <w:right w:val="single" w:sz="6" w:space="0" w:color="auto"/>
            </w:tcBorders>
          </w:tcPr>
          <w:p w14:paraId="1B1223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45,1</w:t>
            </w:r>
          </w:p>
        </w:tc>
        <w:tc>
          <w:tcPr>
            <w:tcW w:w="1132" w:type="dxa"/>
            <w:tcBorders>
              <w:top w:val="single" w:sz="6" w:space="0" w:color="auto"/>
              <w:left w:val="single" w:sz="6" w:space="0" w:color="auto"/>
              <w:bottom w:val="single" w:sz="6" w:space="0" w:color="auto"/>
              <w:right w:val="single" w:sz="6" w:space="0" w:color="auto"/>
            </w:tcBorders>
          </w:tcPr>
          <w:p w14:paraId="21EB1D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45,7</w:t>
            </w:r>
          </w:p>
        </w:tc>
      </w:tr>
      <w:tr w:rsidR="003D4454" w:rsidRPr="00C9671E" w14:paraId="44B8751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21A14F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Вработеност по главни сектори</w:t>
            </w:r>
          </w:p>
        </w:tc>
        <w:tc>
          <w:tcPr>
            <w:tcW w:w="752" w:type="dxa"/>
            <w:tcBorders>
              <w:top w:val="single" w:sz="6" w:space="0" w:color="auto"/>
              <w:left w:val="single" w:sz="6" w:space="0" w:color="auto"/>
              <w:bottom w:val="single" w:sz="6" w:space="0" w:color="auto"/>
              <w:right w:val="nil"/>
            </w:tcBorders>
          </w:tcPr>
          <w:p w14:paraId="4DA3881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946" w:type="dxa"/>
            <w:tcBorders>
              <w:top w:val="single" w:sz="6" w:space="0" w:color="auto"/>
              <w:left w:val="nil"/>
              <w:bottom w:val="single" w:sz="6" w:space="0" w:color="auto"/>
              <w:right w:val="nil"/>
            </w:tcBorders>
          </w:tcPr>
          <w:p w14:paraId="15A7FEC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68E68CE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6FB988D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3BC355A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nil"/>
            </w:tcBorders>
          </w:tcPr>
          <w:p w14:paraId="4FBAC94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single" w:sz="6" w:space="0" w:color="auto"/>
              <w:left w:val="nil"/>
              <w:bottom w:val="single" w:sz="6" w:space="0" w:color="auto"/>
              <w:right w:val="single" w:sz="6" w:space="0" w:color="auto"/>
            </w:tcBorders>
          </w:tcPr>
          <w:p w14:paraId="4BC7A2A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6C9F2E1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3705CE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Земјоделство, шумарство и рибарство (%)</w:t>
            </w:r>
          </w:p>
        </w:tc>
        <w:tc>
          <w:tcPr>
            <w:tcW w:w="752" w:type="dxa"/>
            <w:tcBorders>
              <w:top w:val="single" w:sz="6" w:space="0" w:color="auto"/>
              <w:left w:val="single" w:sz="6" w:space="0" w:color="auto"/>
              <w:bottom w:val="single" w:sz="6" w:space="0" w:color="auto"/>
              <w:right w:val="single" w:sz="6" w:space="0" w:color="auto"/>
            </w:tcBorders>
          </w:tcPr>
          <w:p w14:paraId="38A7EAB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CE3891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00F8D8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16,6 s</w:t>
            </w:r>
          </w:p>
        </w:tc>
        <w:tc>
          <w:tcPr>
            <w:tcW w:w="1132" w:type="dxa"/>
            <w:tcBorders>
              <w:top w:val="single" w:sz="6" w:space="0" w:color="auto"/>
              <w:left w:val="single" w:sz="6" w:space="0" w:color="auto"/>
              <w:bottom w:val="single" w:sz="6" w:space="0" w:color="auto"/>
              <w:right w:val="single" w:sz="6" w:space="0" w:color="auto"/>
            </w:tcBorders>
          </w:tcPr>
          <w:p w14:paraId="4FB446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16,2 s</w:t>
            </w:r>
          </w:p>
        </w:tc>
        <w:tc>
          <w:tcPr>
            <w:tcW w:w="1132" w:type="dxa"/>
            <w:tcBorders>
              <w:top w:val="single" w:sz="6" w:space="0" w:color="auto"/>
              <w:left w:val="single" w:sz="6" w:space="0" w:color="auto"/>
              <w:bottom w:val="single" w:sz="6" w:space="0" w:color="auto"/>
              <w:right w:val="single" w:sz="6" w:space="0" w:color="auto"/>
            </w:tcBorders>
          </w:tcPr>
          <w:p w14:paraId="51F92F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15,7 s</w:t>
            </w:r>
          </w:p>
        </w:tc>
        <w:tc>
          <w:tcPr>
            <w:tcW w:w="1132" w:type="dxa"/>
            <w:tcBorders>
              <w:top w:val="single" w:sz="6" w:space="0" w:color="auto"/>
              <w:left w:val="single" w:sz="6" w:space="0" w:color="auto"/>
              <w:bottom w:val="single" w:sz="6" w:space="0" w:color="auto"/>
              <w:right w:val="single" w:sz="6" w:space="0" w:color="auto"/>
            </w:tcBorders>
          </w:tcPr>
          <w:p w14:paraId="5FA961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13,9 s</w:t>
            </w:r>
          </w:p>
        </w:tc>
        <w:tc>
          <w:tcPr>
            <w:tcW w:w="1132" w:type="dxa"/>
            <w:tcBorders>
              <w:top w:val="single" w:sz="6" w:space="0" w:color="auto"/>
              <w:left w:val="single" w:sz="6" w:space="0" w:color="auto"/>
              <w:bottom w:val="single" w:sz="6" w:space="0" w:color="auto"/>
              <w:right w:val="single" w:sz="6" w:space="0" w:color="auto"/>
            </w:tcBorders>
          </w:tcPr>
          <w:p w14:paraId="002027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12,0 s</w:t>
            </w:r>
          </w:p>
        </w:tc>
      </w:tr>
      <w:tr w:rsidR="003D4454" w:rsidRPr="00C9671E" w14:paraId="36FFAD3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1B7966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Индустрија (%)</w:t>
            </w:r>
          </w:p>
        </w:tc>
        <w:tc>
          <w:tcPr>
            <w:tcW w:w="752" w:type="dxa"/>
            <w:tcBorders>
              <w:top w:val="single" w:sz="6" w:space="0" w:color="auto"/>
              <w:left w:val="single" w:sz="6" w:space="0" w:color="auto"/>
              <w:bottom w:val="single" w:sz="6" w:space="0" w:color="auto"/>
              <w:right w:val="single" w:sz="6" w:space="0" w:color="auto"/>
            </w:tcBorders>
          </w:tcPr>
          <w:p w14:paraId="6B10B25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A95DEA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28AEDF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23,1 s</w:t>
            </w:r>
          </w:p>
        </w:tc>
        <w:tc>
          <w:tcPr>
            <w:tcW w:w="1132" w:type="dxa"/>
            <w:tcBorders>
              <w:top w:val="single" w:sz="6" w:space="0" w:color="auto"/>
              <w:left w:val="single" w:sz="6" w:space="0" w:color="auto"/>
              <w:bottom w:val="single" w:sz="6" w:space="0" w:color="auto"/>
              <w:right w:val="single" w:sz="6" w:space="0" w:color="auto"/>
            </w:tcBorders>
          </w:tcPr>
          <w:p w14:paraId="06D782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23,3 s</w:t>
            </w:r>
          </w:p>
        </w:tc>
        <w:tc>
          <w:tcPr>
            <w:tcW w:w="1132" w:type="dxa"/>
            <w:tcBorders>
              <w:top w:val="single" w:sz="6" w:space="0" w:color="auto"/>
              <w:left w:val="single" w:sz="6" w:space="0" w:color="auto"/>
              <w:bottom w:val="single" w:sz="6" w:space="0" w:color="auto"/>
              <w:right w:val="single" w:sz="6" w:space="0" w:color="auto"/>
            </w:tcBorders>
          </w:tcPr>
          <w:p w14:paraId="14ADD96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23,9 s</w:t>
            </w:r>
          </w:p>
        </w:tc>
        <w:tc>
          <w:tcPr>
            <w:tcW w:w="1132" w:type="dxa"/>
            <w:tcBorders>
              <w:top w:val="single" w:sz="6" w:space="0" w:color="auto"/>
              <w:left w:val="single" w:sz="6" w:space="0" w:color="auto"/>
              <w:bottom w:val="single" w:sz="6" w:space="0" w:color="auto"/>
              <w:right w:val="single" w:sz="6" w:space="0" w:color="auto"/>
            </w:tcBorders>
          </w:tcPr>
          <w:p w14:paraId="6C7AF93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24,1 s</w:t>
            </w:r>
          </w:p>
        </w:tc>
        <w:tc>
          <w:tcPr>
            <w:tcW w:w="1132" w:type="dxa"/>
            <w:tcBorders>
              <w:top w:val="single" w:sz="6" w:space="0" w:color="auto"/>
              <w:left w:val="single" w:sz="6" w:space="0" w:color="auto"/>
              <w:bottom w:val="single" w:sz="6" w:space="0" w:color="auto"/>
              <w:right w:val="single" w:sz="6" w:space="0" w:color="auto"/>
            </w:tcBorders>
          </w:tcPr>
          <w:p w14:paraId="44B6E1C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23,9 s</w:t>
            </w:r>
          </w:p>
        </w:tc>
      </w:tr>
      <w:tr w:rsidR="003D4454" w:rsidRPr="00C9671E" w14:paraId="6A5CA1F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9A4D36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Градежништво (%)</w:t>
            </w:r>
          </w:p>
        </w:tc>
        <w:tc>
          <w:tcPr>
            <w:tcW w:w="752" w:type="dxa"/>
            <w:tcBorders>
              <w:top w:val="single" w:sz="6" w:space="0" w:color="auto"/>
              <w:left w:val="single" w:sz="6" w:space="0" w:color="auto"/>
              <w:bottom w:val="single" w:sz="6" w:space="0" w:color="auto"/>
              <w:right w:val="single" w:sz="6" w:space="0" w:color="auto"/>
            </w:tcBorders>
          </w:tcPr>
          <w:p w14:paraId="134DCCC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AB61CB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778E00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 s</w:t>
            </w:r>
          </w:p>
        </w:tc>
        <w:tc>
          <w:tcPr>
            <w:tcW w:w="1132" w:type="dxa"/>
            <w:tcBorders>
              <w:top w:val="single" w:sz="6" w:space="0" w:color="auto"/>
              <w:left w:val="single" w:sz="6" w:space="0" w:color="auto"/>
              <w:bottom w:val="single" w:sz="6" w:space="0" w:color="auto"/>
              <w:right w:val="single" w:sz="6" w:space="0" w:color="auto"/>
            </w:tcBorders>
          </w:tcPr>
          <w:p w14:paraId="6336C82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 s</w:t>
            </w:r>
          </w:p>
        </w:tc>
        <w:tc>
          <w:tcPr>
            <w:tcW w:w="1132" w:type="dxa"/>
            <w:tcBorders>
              <w:top w:val="single" w:sz="6" w:space="0" w:color="auto"/>
              <w:left w:val="single" w:sz="6" w:space="0" w:color="auto"/>
              <w:bottom w:val="single" w:sz="6" w:space="0" w:color="auto"/>
              <w:right w:val="single" w:sz="6" w:space="0" w:color="auto"/>
            </w:tcBorders>
          </w:tcPr>
          <w:p w14:paraId="47A8693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 s</w:t>
            </w:r>
          </w:p>
        </w:tc>
        <w:tc>
          <w:tcPr>
            <w:tcW w:w="1132" w:type="dxa"/>
            <w:tcBorders>
              <w:top w:val="single" w:sz="6" w:space="0" w:color="auto"/>
              <w:left w:val="single" w:sz="6" w:space="0" w:color="auto"/>
              <w:bottom w:val="single" w:sz="6" w:space="0" w:color="auto"/>
              <w:right w:val="single" w:sz="6" w:space="0" w:color="auto"/>
            </w:tcBorders>
          </w:tcPr>
          <w:p w14:paraId="22D830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7,0 s</w:t>
            </w:r>
          </w:p>
        </w:tc>
        <w:tc>
          <w:tcPr>
            <w:tcW w:w="1132" w:type="dxa"/>
            <w:tcBorders>
              <w:top w:val="single" w:sz="6" w:space="0" w:color="auto"/>
              <w:left w:val="single" w:sz="6" w:space="0" w:color="auto"/>
              <w:bottom w:val="single" w:sz="6" w:space="0" w:color="auto"/>
              <w:right w:val="single" w:sz="6" w:space="0" w:color="auto"/>
            </w:tcBorders>
          </w:tcPr>
          <w:p w14:paraId="5AB845D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6,9 s</w:t>
            </w:r>
          </w:p>
        </w:tc>
      </w:tr>
      <w:tr w:rsidR="003D4454" w:rsidRPr="00C9671E" w14:paraId="595C3ED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EBDB46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Услуги (%)</w:t>
            </w:r>
          </w:p>
        </w:tc>
        <w:tc>
          <w:tcPr>
            <w:tcW w:w="752" w:type="dxa"/>
            <w:tcBorders>
              <w:top w:val="single" w:sz="6" w:space="0" w:color="auto"/>
              <w:left w:val="single" w:sz="6" w:space="0" w:color="auto"/>
              <w:bottom w:val="single" w:sz="6" w:space="0" w:color="auto"/>
              <w:right w:val="single" w:sz="6" w:space="0" w:color="auto"/>
            </w:tcBorders>
          </w:tcPr>
          <w:p w14:paraId="4EBDC38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6104020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1CE2EB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53,0 s</w:t>
            </w:r>
          </w:p>
        </w:tc>
        <w:tc>
          <w:tcPr>
            <w:tcW w:w="1132" w:type="dxa"/>
            <w:tcBorders>
              <w:top w:val="single" w:sz="6" w:space="0" w:color="auto"/>
              <w:left w:val="single" w:sz="6" w:space="0" w:color="auto"/>
              <w:bottom w:val="single" w:sz="6" w:space="0" w:color="auto"/>
              <w:right w:val="single" w:sz="6" w:space="0" w:color="auto"/>
            </w:tcBorders>
          </w:tcPr>
          <w:p w14:paraId="0DE305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53,2 s</w:t>
            </w:r>
          </w:p>
        </w:tc>
        <w:tc>
          <w:tcPr>
            <w:tcW w:w="1132" w:type="dxa"/>
            <w:tcBorders>
              <w:top w:val="single" w:sz="6" w:space="0" w:color="auto"/>
              <w:left w:val="single" w:sz="6" w:space="0" w:color="auto"/>
              <w:bottom w:val="single" w:sz="6" w:space="0" w:color="auto"/>
              <w:right w:val="single" w:sz="6" w:space="0" w:color="auto"/>
            </w:tcBorders>
          </w:tcPr>
          <w:p w14:paraId="595557C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52,9 s</w:t>
            </w:r>
          </w:p>
        </w:tc>
        <w:tc>
          <w:tcPr>
            <w:tcW w:w="1132" w:type="dxa"/>
            <w:tcBorders>
              <w:top w:val="single" w:sz="6" w:space="0" w:color="auto"/>
              <w:left w:val="single" w:sz="6" w:space="0" w:color="auto"/>
              <w:bottom w:val="single" w:sz="6" w:space="0" w:color="auto"/>
              <w:right w:val="single" w:sz="6" w:space="0" w:color="auto"/>
            </w:tcBorders>
          </w:tcPr>
          <w:p w14:paraId="3A1489C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55,0 s</w:t>
            </w:r>
          </w:p>
        </w:tc>
        <w:tc>
          <w:tcPr>
            <w:tcW w:w="1132" w:type="dxa"/>
            <w:tcBorders>
              <w:top w:val="single" w:sz="6" w:space="0" w:color="auto"/>
              <w:left w:val="single" w:sz="6" w:space="0" w:color="auto"/>
              <w:bottom w:val="single" w:sz="6" w:space="0" w:color="auto"/>
              <w:right w:val="single" w:sz="6" w:space="0" w:color="auto"/>
            </w:tcBorders>
          </w:tcPr>
          <w:p w14:paraId="40F6DBD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57,1 s</w:t>
            </w:r>
          </w:p>
        </w:tc>
      </w:tr>
      <w:tr w:rsidR="003D4454" w:rsidRPr="00C9671E" w14:paraId="76EA108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2E47EE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Лица вработени во јавниот сектор, како дел од вкупниот број на вработени, лица на возраст од 20 до 64 години (%)</w:t>
            </w:r>
          </w:p>
        </w:tc>
        <w:tc>
          <w:tcPr>
            <w:tcW w:w="752" w:type="dxa"/>
            <w:tcBorders>
              <w:top w:val="single" w:sz="6" w:space="0" w:color="auto"/>
              <w:left w:val="single" w:sz="6" w:space="0" w:color="auto"/>
              <w:bottom w:val="single" w:sz="6" w:space="0" w:color="auto"/>
              <w:right w:val="single" w:sz="6" w:space="0" w:color="auto"/>
            </w:tcBorders>
          </w:tcPr>
          <w:p w14:paraId="52E4220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w:t>
            </w:r>
          </w:p>
        </w:tc>
        <w:tc>
          <w:tcPr>
            <w:tcW w:w="946" w:type="dxa"/>
            <w:tcBorders>
              <w:top w:val="single" w:sz="6" w:space="0" w:color="auto"/>
              <w:left w:val="single" w:sz="6" w:space="0" w:color="auto"/>
              <w:bottom w:val="single" w:sz="6" w:space="0" w:color="auto"/>
              <w:right w:val="single" w:sz="6" w:space="0" w:color="auto"/>
            </w:tcBorders>
          </w:tcPr>
          <w:p w14:paraId="14F956E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27,0 w</w:t>
            </w:r>
          </w:p>
        </w:tc>
        <w:tc>
          <w:tcPr>
            <w:tcW w:w="1132" w:type="dxa"/>
            <w:tcBorders>
              <w:top w:val="single" w:sz="6" w:space="0" w:color="auto"/>
              <w:left w:val="single" w:sz="6" w:space="0" w:color="auto"/>
              <w:bottom w:val="single" w:sz="6" w:space="0" w:color="auto"/>
              <w:right w:val="single" w:sz="6" w:space="0" w:color="auto"/>
            </w:tcBorders>
          </w:tcPr>
          <w:p w14:paraId="3C87D44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23,5 w</w:t>
            </w:r>
          </w:p>
        </w:tc>
        <w:tc>
          <w:tcPr>
            <w:tcW w:w="1132" w:type="dxa"/>
            <w:tcBorders>
              <w:top w:val="single" w:sz="6" w:space="0" w:color="auto"/>
              <w:left w:val="single" w:sz="6" w:space="0" w:color="auto"/>
              <w:bottom w:val="single" w:sz="6" w:space="0" w:color="auto"/>
              <w:right w:val="single" w:sz="6" w:space="0" w:color="auto"/>
            </w:tcBorders>
          </w:tcPr>
          <w:p w14:paraId="41E6908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23,2 w</w:t>
            </w:r>
          </w:p>
        </w:tc>
        <w:tc>
          <w:tcPr>
            <w:tcW w:w="1132" w:type="dxa"/>
            <w:tcBorders>
              <w:top w:val="single" w:sz="6" w:space="0" w:color="auto"/>
              <w:left w:val="single" w:sz="6" w:space="0" w:color="auto"/>
              <w:bottom w:val="single" w:sz="6" w:space="0" w:color="auto"/>
              <w:right w:val="single" w:sz="6" w:space="0" w:color="auto"/>
            </w:tcBorders>
          </w:tcPr>
          <w:p w14:paraId="4542D5B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23,1 w</w:t>
            </w:r>
          </w:p>
        </w:tc>
        <w:tc>
          <w:tcPr>
            <w:tcW w:w="1132" w:type="dxa"/>
            <w:tcBorders>
              <w:top w:val="single" w:sz="6" w:space="0" w:color="auto"/>
              <w:left w:val="single" w:sz="6" w:space="0" w:color="auto"/>
              <w:bottom w:val="single" w:sz="6" w:space="0" w:color="auto"/>
              <w:right w:val="single" w:sz="6" w:space="0" w:color="auto"/>
            </w:tcBorders>
          </w:tcPr>
          <w:p w14:paraId="300CDAE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23,2 w</w:t>
            </w:r>
          </w:p>
        </w:tc>
        <w:tc>
          <w:tcPr>
            <w:tcW w:w="1132" w:type="dxa"/>
            <w:tcBorders>
              <w:top w:val="single" w:sz="6" w:space="0" w:color="auto"/>
              <w:left w:val="single" w:sz="6" w:space="0" w:color="auto"/>
              <w:bottom w:val="single" w:sz="6" w:space="0" w:color="auto"/>
              <w:right w:val="single" w:sz="6" w:space="0" w:color="auto"/>
            </w:tcBorders>
          </w:tcPr>
          <w:p w14:paraId="783727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24,4 w</w:t>
            </w:r>
          </w:p>
        </w:tc>
      </w:tr>
      <w:tr w:rsidR="003D4454" w:rsidRPr="00C9671E" w14:paraId="560F4B2D"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C88E72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Лица вработени во приватниот сектор, како дел од вкупниот број на вработени, лица на возраст од 20 до 64 години (%)</w:t>
            </w:r>
          </w:p>
        </w:tc>
        <w:tc>
          <w:tcPr>
            <w:tcW w:w="752" w:type="dxa"/>
            <w:tcBorders>
              <w:top w:val="single" w:sz="6" w:space="0" w:color="auto"/>
              <w:left w:val="single" w:sz="6" w:space="0" w:color="auto"/>
              <w:bottom w:val="single" w:sz="6" w:space="0" w:color="auto"/>
              <w:right w:val="single" w:sz="6" w:space="0" w:color="auto"/>
            </w:tcBorders>
          </w:tcPr>
          <w:p w14:paraId="7B17BFF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92C64E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73,0 w</w:t>
            </w:r>
          </w:p>
        </w:tc>
        <w:tc>
          <w:tcPr>
            <w:tcW w:w="1132" w:type="dxa"/>
            <w:tcBorders>
              <w:top w:val="single" w:sz="6" w:space="0" w:color="auto"/>
              <w:left w:val="single" w:sz="6" w:space="0" w:color="auto"/>
              <w:bottom w:val="single" w:sz="6" w:space="0" w:color="auto"/>
              <w:right w:val="single" w:sz="6" w:space="0" w:color="auto"/>
            </w:tcBorders>
          </w:tcPr>
          <w:p w14:paraId="172813F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76,5 w</w:t>
            </w:r>
          </w:p>
        </w:tc>
        <w:tc>
          <w:tcPr>
            <w:tcW w:w="1132" w:type="dxa"/>
            <w:tcBorders>
              <w:top w:val="single" w:sz="6" w:space="0" w:color="auto"/>
              <w:left w:val="single" w:sz="6" w:space="0" w:color="auto"/>
              <w:bottom w:val="single" w:sz="6" w:space="0" w:color="auto"/>
              <w:right w:val="single" w:sz="6" w:space="0" w:color="auto"/>
            </w:tcBorders>
          </w:tcPr>
          <w:p w14:paraId="7793A6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76,8 w</w:t>
            </w:r>
          </w:p>
        </w:tc>
        <w:tc>
          <w:tcPr>
            <w:tcW w:w="1132" w:type="dxa"/>
            <w:tcBorders>
              <w:top w:val="single" w:sz="6" w:space="0" w:color="auto"/>
              <w:left w:val="single" w:sz="6" w:space="0" w:color="auto"/>
              <w:bottom w:val="single" w:sz="6" w:space="0" w:color="auto"/>
              <w:right w:val="single" w:sz="6" w:space="0" w:color="auto"/>
            </w:tcBorders>
          </w:tcPr>
          <w:p w14:paraId="766680C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76,9 w</w:t>
            </w:r>
          </w:p>
        </w:tc>
        <w:tc>
          <w:tcPr>
            <w:tcW w:w="1132" w:type="dxa"/>
            <w:tcBorders>
              <w:top w:val="single" w:sz="6" w:space="0" w:color="auto"/>
              <w:left w:val="single" w:sz="6" w:space="0" w:color="auto"/>
              <w:bottom w:val="single" w:sz="6" w:space="0" w:color="auto"/>
              <w:right w:val="single" w:sz="6" w:space="0" w:color="auto"/>
            </w:tcBorders>
          </w:tcPr>
          <w:p w14:paraId="5567C9E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76,8 w</w:t>
            </w:r>
          </w:p>
        </w:tc>
        <w:tc>
          <w:tcPr>
            <w:tcW w:w="1132" w:type="dxa"/>
            <w:tcBorders>
              <w:top w:val="single" w:sz="6" w:space="0" w:color="auto"/>
              <w:left w:val="single" w:sz="6" w:space="0" w:color="auto"/>
              <w:bottom w:val="single" w:sz="6" w:space="0" w:color="auto"/>
              <w:right w:val="single" w:sz="6" w:space="0" w:color="auto"/>
            </w:tcBorders>
          </w:tcPr>
          <w:p w14:paraId="09BA95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75,6 w</w:t>
            </w:r>
          </w:p>
        </w:tc>
      </w:tr>
      <w:tr w:rsidR="003D4454" w:rsidRPr="00C9671E" w14:paraId="667D6970"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3C3DD2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невработеност: дел од работната сила што е невработен (%)</w:t>
            </w:r>
          </w:p>
        </w:tc>
        <w:tc>
          <w:tcPr>
            <w:tcW w:w="752" w:type="dxa"/>
            <w:tcBorders>
              <w:top w:val="single" w:sz="6" w:space="0" w:color="auto"/>
              <w:left w:val="single" w:sz="6" w:space="0" w:color="auto"/>
              <w:bottom w:val="single" w:sz="6" w:space="0" w:color="auto"/>
              <w:right w:val="single" w:sz="6" w:space="0" w:color="auto"/>
            </w:tcBorders>
          </w:tcPr>
          <w:p w14:paraId="2C0913C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34808D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32,2</w:t>
            </w:r>
          </w:p>
        </w:tc>
        <w:tc>
          <w:tcPr>
            <w:tcW w:w="1132" w:type="dxa"/>
            <w:tcBorders>
              <w:top w:val="single" w:sz="6" w:space="0" w:color="auto"/>
              <w:left w:val="single" w:sz="6" w:space="0" w:color="auto"/>
              <w:bottom w:val="single" w:sz="6" w:space="0" w:color="auto"/>
              <w:right w:val="single" w:sz="6" w:space="0" w:color="auto"/>
            </w:tcBorders>
          </w:tcPr>
          <w:p w14:paraId="2D86FFC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23,7</w:t>
            </w:r>
          </w:p>
        </w:tc>
        <w:tc>
          <w:tcPr>
            <w:tcW w:w="1132" w:type="dxa"/>
            <w:tcBorders>
              <w:top w:val="single" w:sz="6" w:space="0" w:color="auto"/>
              <w:left w:val="single" w:sz="6" w:space="0" w:color="auto"/>
              <w:bottom w:val="single" w:sz="6" w:space="0" w:color="auto"/>
              <w:right w:val="single" w:sz="6" w:space="0" w:color="auto"/>
            </w:tcBorders>
          </w:tcPr>
          <w:p w14:paraId="2F0E9A6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22,4</w:t>
            </w:r>
          </w:p>
        </w:tc>
        <w:tc>
          <w:tcPr>
            <w:tcW w:w="1132" w:type="dxa"/>
            <w:tcBorders>
              <w:top w:val="single" w:sz="6" w:space="0" w:color="auto"/>
              <w:left w:val="single" w:sz="6" w:space="0" w:color="auto"/>
              <w:bottom w:val="single" w:sz="6" w:space="0" w:color="auto"/>
              <w:right w:val="single" w:sz="6" w:space="0" w:color="auto"/>
            </w:tcBorders>
          </w:tcPr>
          <w:p w14:paraId="5E4654F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20,8</w:t>
            </w:r>
          </w:p>
        </w:tc>
        <w:tc>
          <w:tcPr>
            <w:tcW w:w="1132" w:type="dxa"/>
            <w:tcBorders>
              <w:top w:val="single" w:sz="6" w:space="0" w:color="auto"/>
              <w:left w:val="single" w:sz="6" w:space="0" w:color="auto"/>
              <w:bottom w:val="single" w:sz="6" w:space="0" w:color="auto"/>
              <w:right w:val="single" w:sz="6" w:space="0" w:color="auto"/>
            </w:tcBorders>
          </w:tcPr>
          <w:p w14:paraId="4B36184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17,3</w:t>
            </w:r>
          </w:p>
        </w:tc>
        <w:tc>
          <w:tcPr>
            <w:tcW w:w="1132" w:type="dxa"/>
            <w:tcBorders>
              <w:top w:val="single" w:sz="6" w:space="0" w:color="auto"/>
              <w:left w:val="single" w:sz="6" w:space="0" w:color="auto"/>
              <w:bottom w:val="single" w:sz="6" w:space="0" w:color="auto"/>
              <w:right w:val="single" w:sz="6" w:space="0" w:color="auto"/>
            </w:tcBorders>
          </w:tcPr>
          <w:p w14:paraId="754EAE3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16,4</w:t>
            </w:r>
          </w:p>
        </w:tc>
      </w:tr>
      <w:tr w:rsidR="003D4454" w:rsidRPr="00C9671E" w14:paraId="4D13C12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442CD3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невработеност на мажи (%)</w:t>
            </w:r>
          </w:p>
        </w:tc>
        <w:tc>
          <w:tcPr>
            <w:tcW w:w="752" w:type="dxa"/>
            <w:tcBorders>
              <w:top w:val="single" w:sz="6" w:space="0" w:color="auto"/>
              <w:left w:val="single" w:sz="6" w:space="0" w:color="auto"/>
              <w:bottom w:val="single" w:sz="6" w:space="0" w:color="auto"/>
              <w:right w:val="single" w:sz="6" w:space="0" w:color="auto"/>
            </w:tcBorders>
          </w:tcPr>
          <w:p w14:paraId="41C7CDE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93250B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31,8</w:t>
            </w:r>
          </w:p>
        </w:tc>
        <w:tc>
          <w:tcPr>
            <w:tcW w:w="1132" w:type="dxa"/>
            <w:tcBorders>
              <w:top w:val="single" w:sz="6" w:space="0" w:color="auto"/>
              <w:left w:val="single" w:sz="6" w:space="0" w:color="auto"/>
              <w:bottom w:val="single" w:sz="6" w:space="0" w:color="auto"/>
              <w:right w:val="single" w:sz="6" w:space="0" w:color="auto"/>
            </w:tcBorders>
          </w:tcPr>
          <w:p w14:paraId="0A4F286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24,4</w:t>
            </w:r>
          </w:p>
        </w:tc>
        <w:tc>
          <w:tcPr>
            <w:tcW w:w="1132" w:type="dxa"/>
            <w:tcBorders>
              <w:top w:val="single" w:sz="6" w:space="0" w:color="auto"/>
              <w:left w:val="single" w:sz="6" w:space="0" w:color="auto"/>
              <w:bottom w:val="single" w:sz="6" w:space="0" w:color="auto"/>
              <w:right w:val="single" w:sz="6" w:space="0" w:color="auto"/>
            </w:tcBorders>
          </w:tcPr>
          <w:p w14:paraId="19CD48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22,8</w:t>
            </w:r>
          </w:p>
        </w:tc>
        <w:tc>
          <w:tcPr>
            <w:tcW w:w="1132" w:type="dxa"/>
            <w:tcBorders>
              <w:top w:val="single" w:sz="6" w:space="0" w:color="auto"/>
              <w:left w:val="single" w:sz="6" w:space="0" w:color="auto"/>
              <w:bottom w:val="single" w:sz="6" w:space="0" w:color="auto"/>
              <w:right w:val="single" w:sz="6" w:space="0" w:color="auto"/>
            </w:tcBorders>
          </w:tcPr>
          <w:p w14:paraId="736C4E4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21,3</w:t>
            </w:r>
          </w:p>
        </w:tc>
        <w:tc>
          <w:tcPr>
            <w:tcW w:w="1132" w:type="dxa"/>
            <w:tcBorders>
              <w:top w:val="single" w:sz="6" w:space="0" w:color="auto"/>
              <w:left w:val="single" w:sz="6" w:space="0" w:color="auto"/>
              <w:bottom w:val="single" w:sz="6" w:space="0" w:color="auto"/>
              <w:right w:val="single" w:sz="6" w:space="0" w:color="auto"/>
            </w:tcBorders>
          </w:tcPr>
          <w:p w14:paraId="1D03EEE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16,5</w:t>
            </w:r>
          </w:p>
        </w:tc>
        <w:tc>
          <w:tcPr>
            <w:tcW w:w="1132" w:type="dxa"/>
            <w:tcBorders>
              <w:top w:val="single" w:sz="6" w:space="0" w:color="auto"/>
              <w:left w:val="single" w:sz="6" w:space="0" w:color="auto"/>
              <w:bottom w:val="single" w:sz="6" w:space="0" w:color="auto"/>
              <w:right w:val="single" w:sz="6" w:space="0" w:color="auto"/>
            </w:tcBorders>
          </w:tcPr>
          <w:p w14:paraId="3AF1108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16,7</w:t>
            </w:r>
          </w:p>
        </w:tc>
      </w:tr>
      <w:tr w:rsidR="003D4454" w:rsidRPr="00C9671E" w14:paraId="31F3474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9E5617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невработеност на жени (%)</w:t>
            </w:r>
          </w:p>
        </w:tc>
        <w:tc>
          <w:tcPr>
            <w:tcW w:w="752" w:type="dxa"/>
            <w:tcBorders>
              <w:top w:val="single" w:sz="6" w:space="0" w:color="auto"/>
              <w:left w:val="single" w:sz="6" w:space="0" w:color="auto"/>
              <w:bottom w:val="single" w:sz="6" w:space="0" w:color="auto"/>
              <w:right w:val="single" w:sz="6" w:space="0" w:color="auto"/>
            </w:tcBorders>
          </w:tcPr>
          <w:p w14:paraId="3FD8CE7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B75D34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32,8</w:t>
            </w:r>
          </w:p>
        </w:tc>
        <w:tc>
          <w:tcPr>
            <w:tcW w:w="1132" w:type="dxa"/>
            <w:tcBorders>
              <w:top w:val="single" w:sz="6" w:space="0" w:color="auto"/>
              <w:left w:val="single" w:sz="6" w:space="0" w:color="auto"/>
              <w:bottom w:val="single" w:sz="6" w:space="0" w:color="auto"/>
              <w:right w:val="single" w:sz="6" w:space="0" w:color="auto"/>
            </w:tcBorders>
          </w:tcPr>
          <w:p w14:paraId="7237CE3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22,8</w:t>
            </w:r>
          </w:p>
        </w:tc>
        <w:tc>
          <w:tcPr>
            <w:tcW w:w="1132" w:type="dxa"/>
            <w:tcBorders>
              <w:top w:val="single" w:sz="6" w:space="0" w:color="auto"/>
              <w:left w:val="single" w:sz="6" w:space="0" w:color="auto"/>
              <w:bottom w:val="single" w:sz="6" w:space="0" w:color="auto"/>
              <w:right w:val="single" w:sz="6" w:space="0" w:color="auto"/>
            </w:tcBorders>
          </w:tcPr>
          <w:p w14:paraId="61EE280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21,8</w:t>
            </w:r>
          </w:p>
        </w:tc>
        <w:tc>
          <w:tcPr>
            <w:tcW w:w="1132" w:type="dxa"/>
            <w:tcBorders>
              <w:top w:val="single" w:sz="6" w:space="0" w:color="auto"/>
              <w:left w:val="single" w:sz="6" w:space="0" w:color="auto"/>
              <w:bottom w:val="single" w:sz="6" w:space="0" w:color="auto"/>
              <w:right w:val="single" w:sz="6" w:space="0" w:color="auto"/>
            </w:tcBorders>
          </w:tcPr>
          <w:p w14:paraId="0881B87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19,9</w:t>
            </w:r>
          </w:p>
        </w:tc>
        <w:tc>
          <w:tcPr>
            <w:tcW w:w="1132" w:type="dxa"/>
            <w:tcBorders>
              <w:top w:val="single" w:sz="6" w:space="0" w:color="auto"/>
              <w:left w:val="single" w:sz="6" w:space="0" w:color="auto"/>
              <w:bottom w:val="single" w:sz="6" w:space="0" w:color="auto"/>
              <w:right w:val="single" w:sz="6" w:space="0" w:color="auto"/>
            </w:tcBorders>
          </w:tcPr>
          <w:p w14:paraId="738E314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18,4</w:t>
            </w:r>
          </w:p>
        </w:tc>
        <w:tc>
          <w:tcPr>
            <w:tcW w:w="1132" w:type="dxa"/>
            <w:tcBorders>
              <w:top w:val="single" w:sz="6" w:space="0" w:color="auto"/>
              <w:left w:val="single" w:sz="6" w:space="0" w:color="auto"/>
              <w:bottom w:val="single" w:sz="6" w:space="0" w:color="auto"/>
              <w:right w:val="single" w:sz="6" w:space="0" w:color="auto"/>
            </w:tcBorders>
          </w:tcPr>
          <w:p w14:paraId="3105434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15,9</w:t>
            </w:r>
          </w:p>
        </w:tc>
      </w:tr>
      <w:tr w:rsidR="003D4454" w:rsidRPr="00C9671E" w14:paraId="3E0A672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D0216A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невработеност на млади: дел од работната сила на возраст од 15 до 24 години што е невработен (%)</w:t>
            </w:r>
          </w:p>
        </w:tc>
        <w:tc>
          <w:tcPr>
            <w:tcW w:w="752" w:type="dxa"/>
            <w:tcBorders>
              <w:top w:val="single" w:sz="6" w:space="0" w:color="auto"/>
              <w:left w:val="single" w:sz="6" w:space="0" w:color="auto"/>
              <w:bottom w:val="single" w:sz="6" w:space="0" w:color="auto"/>
              <w:right w:val="single" w:sz="6" w:space="0" w:color="auto"/>
            </w:tcBorders>
          </w:tcPr>
          <w:p w14:paraId="342BF6C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5A749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55,1</w:t>
            </w:r>
          </w:p>
        </w:tc>
        <w:tc>
          <w:tcPr>
            <w:tcW w:w="1132" w:type="dxa"/>
            <w:tcBorders>
              <w:top w:val="single" w:sz="6" w:space="0" w:color="auto"/>
              <w:left w:val="single" w:sz="6" w:space="0" w:color="auto"/>
              <w:bottom w:val="single" w:sz="6" w:space="0" w:color="auto"/>
              <w:right w:val="single" w:sz="6" w:space="0" w:color="auto"/>
            </w:tcBorders>
          </w:tcPr>
          <w:p w14:paraId="4DA83F8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48,2</w:t>
            </w:r>
          </w:p>
        </w:tc>
        <w:tc>
          <w:tcPr>
            <w:tcW w:w="1132" w:type="dxa"/>
            <w:tcBorders>
              <w:top w:val="single" w:sz="6" w:space="0" w:color="auto"/>
              <w:left w:val="single" w:sz="6" w:space="0" w:color="auto"/>
              <w:bottom w:val="single" w:sz="6" w:space="0" w:color="auto"/>
              <w:right w:val="single" w:sz="6" w:space="0" w:color="auto"/>
            </w:tcBorders>
          </w:tcPr>
          <w:p w14:paraId="4A99A5D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46,7</w:t>
            </w:r>
          </w:p>
        </w:tc>
        <w:tc>
          <w:tcPr>
            <w:tcW w:w="1132" w:type="dxa"/>
            <w:tcBorders>
              <w:top w:val="single" w:sz="6" w:space="0" w:color="auto"/>
              <w:left w:val="single" w:sz="6" w:space="0" w:color="auto"/>
              <w:bottom w:val="single" w:sz="6" w:space="0" w:color="auto"/>
              <w:right w:val="single" w:sz="6" w:space="0" w:color="auto"/>
            </w:tcBorders>
          </w:tcPr>
          <w:p w14:paraId="037BD86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45,4</w:t>
            </w:r>
          </w:p>
        </w:tc>
        <w:tc>
          <w:tcPr>
            <w:tcW w:w="1132" w:type="dxa"/>
            <w:tcBorders>
              <w:top w:val="single" w:sz="6" w:space="0" w:color="auto"/>
              <w:left w:val="single" w:sz="6" w:space="0" w:color="auto"/>
              <w:bottom w:val="single" w:sz="6" w:space="0" w:color="auto"/>
              <w:right w:val="single" w:sz="6" w:space="0" w:color="auto"/>
            </w:tcBorders>
          </w:tcPr>
          <w:p w14:paraId="412919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35,6</w:t>
            </w:r>
          </w:p>
        </w:tc>
        <w:tc>
          <w:tcPr>
            <w:tcW w:w="1132" w:type="dxa"/>
            <w:tcBorders>
              <w:top w:val="single" w:sz="6" w:space="0" w:color="auto"/>
              <w:left w:val="single" w:sz="6" w:space="0" w:color="auto"/>
              <w:bottom w:val="single" w:sz="6" w:space="0" w:color="auto"/>
              <w:right w:val="single" w:sz="6" w:space="0" w:color="auto"/>
            </w:tcBorders>
          </w:tcPr>
          <w:p w14:paraId="60B294F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35,7</w:t>
            </w:r>
          </w:p>
        </w:tc>
      </w:tr>
      <w:tr w:rsidR="003D4454" w:rsidRPr="00C9671E" w14:paraId="79066D8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0243AA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Стапка на долгорочна невработеност: дел од работната сила што е невработен 12 месеци или подолго (%)</w:t>
            </w:r>
          </w:p>
        </w:tc>
        <w:tc>
          <w:tcPr>
            <w:tcW w:w="752" w:type="dxa"/>
            <w:tcBorders>
              <w:top w:val="single" w:sz="6" w:space="0" w:color="auto"/>
              <w:left w:val="single" w:sz="6" w:space="0" w:color="auto"/>
              <w:bottom w:val="single" w:sz="6" w:space="0" w:color="auto"/>
              <w:right w:val="single" w:sz="6" w:space="0" w:color="auto"/>
            </w:tcBorders>
          </w:tcPr>
          <w:p w14:paraId="78EBF42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F039A2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26,3</w:t>
            </w:r>
          </w:p>
        </w:tc>
        <w:tc>
          <w:tcPr>
            <w:tcW w:w="1132" w:type="dxa"/>
            <w:tcBorders>
              <w:top w:val="single" w:sz="6" w:space="0" w:color="auto"/>
              <w:left w:val="single" w:sz="6" w:space="0" w:color="auto"/>
              <w:bottom w:val="single" w:sz="6" w:space="0" w:color="auto"/>
              <w:right w:val="single" w:sz="6" w:space="0" w:color="auto"/>
            </w:tcBorders>
          </w:tcPr>
          <w:p w14:paraId="183D6D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19,1</w:t>
            </w:r>
          </w:p>
        </w:tc>
        <w:tc>
          <w:tcPr>
            <w:tcW w:w="1132" w:type="dxa"/>
            <w:tcBorders>
              <w:top w:val="single" w:sz="6" w:space="0" w:color="auto"/>
              <w:left w:val="single" w:sz="6" w:space="0" w:color="auto"/>
              <w:bottom w:val="single" w:sz="6" w:space="0" w:color="auto"/>
              <w:right w:val="single" w:sz="6" w:space="0" w:color="auto"/>
            </w:tcBorders>
          </w:tcPr>
          <w:p w14:paraId="078BD15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17,4</w:t>
            </w:r>
          </w:p>
        </w:tc>
        <w:tc>
          <w:tcPr>
            <w:tcW w:w="1132" w:type="dxa"/>
            <w:tcBorders>
              <w:top w:val="single" w:sz="6" w:space="0" w:color="auto"/>
              <w:left w:val="single" w:sz="6" w:space="0" w:color="auto"/>
              <w:bottom w:val="single" w:sz="6" w:space="0" w:color="auto"/>
              <w:right w:val="single" w:sz="6" w:space="0" w:color="auto"/>
            </w:tcBorders>
          </w:tcPr>
          <w:p w14:paraId="19EA30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15,5</w:t>
            </w:r>
          </w:p>
        </w:tc>
        <w:tc>
          <w:tcPr>
            <w:tcW w:w="1132" w:type="dxa"/>
            <w:tcBorders>
              <w:top w:val="single" w:sz="6" w:space="0" w:color="auto"/>
              <w:left w:val="single" w:sz="6" w:space="0" w:color="auto"/>
              <w:bottom w:val="single" w:sz="6" w:space="0" w:color="auto"/>
              <w:right w:val="single" w:sz="6" w:space="0" w:color="auto"/>
            </w:tcBorders>
          </w:tcPr>
          <w:p w14:paraId="485B0A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12,4</w:t>
            </w:r>
          </w:p>
        </w:tc>
        <w:tc>
          <w:tcPr>
            <w:tcW w:w="1132" w:type="dxa"/>
            <w:tcBorders>
              <w:top w:val="single" w:sz="6" w:space="0" w:color="auto"/>
              <w:left w:val="single" w:sz="6" w:space="0" w:color="auto"/>
              <w:bottom w:val="single" w:sz="6" w:space="0" w:color="auto"/>
              <w:right w:val="single" w:sz="6" w:space="0" w:color="auto"/>
            </w:tcBorders>
          </w:tcPr>
          <w:p w14:paraId="67BA817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12,4</w:t>
            </w:r>
          </w:p>
        </w:tc>
      </w:tr>
      <w:tr w:rsidR="003D4454" w:rsidRPr="00C9671E" w14:paraId="7B9EFEC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6A4BB1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невработеност на лица (на возраст од 25 до 64 години) со завршено најмногу ниско образование (ISCED-нивоа 0-2) (%)</w:t>
            </w:r>
          </w:p>
        </w:tc>
        <w:tc>
          <w:tcPr>
            <w:tcW w:w="752" w:type="dxa"/>
            <w:tcBorders>
              <w:top w:val="single" w:sz="6" w:space="0" w:color="auto"/>
              <w:left w:val="single" w:sz="6" w:space="0" w:color="auto"/>
              <w:bottom w:val="single" w:sz="6" w:space="0" w:color="auto"/>
              <w:right w:val="single" w:sz="6" w:space="0" w:color="auto"/>
            </w:tcBorders>
          </w:tcPr>
          <w:p w14:paraId="78A9721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78A99F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37,5</w:t>
            </w:r>
          </w:p>
        </w:tc>
        <w:tc>
          <w:tcPr>
            <w:tcW w:w="1132" w:type="dxa"/>
            <w:tcBorders>
              <w:top w:val="single" w:sz="6" w:space="0" w:color="auto"/>
              <w:left w:val="single" w:sz="6" w:space="0" w:color="auto"/>
              <w:bottom w:val="single" w:sz="6" w:space="0" w:color="auto"/>
              <w:right w:val="single" w:sz="6" w:space="0" w:color="auto"/>
            </w:tcBorders>
          </w:tcPr>
          <w:p w14:paraId="3B40BE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28,8</w:t>
            </w:r>
          </w:p>
        </w:tc>
        <w:tc>
          <w:tcPr>
            <w:tcW w:w="1132" w:type="dxa"/>
            <w:tcBorders>
              <w:top w:val="single" w:sz="6" w:space="0" w:color="auto"/>
              <w:left w:val="single" w:sz="6" w:space="0" w:color="auto"/>
              <w:bottom w:val="single" w:sz="6" w:space="0" w:color="auto"/>
              <w:right w:val="single" w:sz="6" w:space="0" w:color="auto"/>
            </w:tcBorders>
          </w:tcPr>
          <w:p w14:paraId="3DE2531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25,6</w:t>
            </w:r>
          </w:p>
        </w:tc>
        <w:tc>
          <w:tcPr>
            <w:tcW w:w="1132" w:type="dxa"/>
            <w:tcBorders>
              <w:top w:val="single" w:sz="6" w:space="0" w:color="auto"/>
              <w:left w:val="single" w:sz="6" w:space="0" w:color="auto"/>
              <w:bottom w:val="single" w:sz="6" w:space="0" w:color="auto"/>
              <w:right w:val="single" w:sz="6" w:space="0" w:color="auto"/>
            </w:tcBorders>
          </w:tcPr>
          <w:p w14:paraId="2E9A91E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23,1</w:t>
            </w:r>
          </w:p>
        </w:tc>
        <w:tc>
          <w:tcPr>
            <w:tcW w:w="1132" w:type="dxa"/>
            <w:tcBorders>
              <w:top w:val="single" w:sz="6" w:space="0" w:color="auto"/>
              <w:left w:val="single" w:sz="6" w:space="0" w:color="auto"/>
              <w:bottom w:val="single" w:sz="6" w:space="0" w:color="auto"/>
              <w:right w:val="single" w:sz="6" w:space="0" w:color="auto"/>
            </w:tcBorders>
          </w:tcPr>
          <w:p w14:paraId="7ADCA1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23,7</w:t>
            </w:r>
          </w:p>
        </w:tc>
        <w:tc>
          <w:tcPr>
            <w:tcW w:w="1132" w:type="dxa"/>
            <w:tcBorders>
              <w:top w:val="single" w:sz="6" w:space="0" w:color="auto"/>
              <w:left w:val="single" w:sz="6" w:space="0" w:color="auto"/>
              <w:bottom w:val="single" w:sz="6" w:space="0" w:color="auto"/>
              <w:right w:val="single" w:sz="6" w:space="0" w:color="auto"/>
            </w:tcBorders>
          </w:tcPr>
          <w:p w14:paraId="7D38804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21,4</w:t>
            </w:r>
          </w:p>
        </w:tc>
      </w:tr>
      <w:tr w:rsidR="003D4454" w:rsidRPr="00C9671E" w14:paraId="2F0C06A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DA145C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Стапка на невработеност на лица (на возраст од 25 до 64 години) со завршено високо образование (ISCED-нивоа 5-8) (%)</w:t>
            </w:r>
          </w:p>
        </w:tc>
        <w:tc>
          <w:tcPr>
            <w:tcW w:w="752" w:type="dxa"/>
            <w:tcBorders>
              <w:top w:val="single" w:sz="6" w:space="0" w:color="auto"/>
              <w:left w:val="single" w:sz="6" w:space="0" w:color="auto"/>
              <w:bottom w:val="single" w:sz="6" w:space="0" w:color="auto"/>
              <w:right w:val="single" w:sz="6" w:space="0" w:color="auto"/>
            </w:tcBorders>
          </w:tcPr>
          <w:p w14:paraId="4EFDC3C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84C416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17,9</w:t>
            </w:r>
          </w:p>
        </w:tc>
        <w:tc>
          <w:tcPr>
            <w:tcW w:w="1132" w:type="dxa"/>
            <w:tcBorders>
              <w:top w:val="single" w:sz="6" w:space="0" w:color="auto"/>
              <w:left w:val="single" w:sz="6" w:space="0" w:color="auto"/>
              <w:bottom w:val="single" w:sz="6" w:space="0" w:color="auto"/>
              <w:right w:val="single" w:sz="6" w:space="0" w:color="auto"/>
            </w:tcBorders>
          </w:tcPr>
          <w:p w14:paraId="2076927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17,6</w:t>
            </w:r>
          </w:p>
        </w:tc>
        <w:tc>
          <w:tcPr>
            <w:tcW w:w="1132" w:type="dxa"/>
            <w:tcBorders>
              <w:top w:val="single" w:sz="6" w:space="0" w:color="auto"/>
              <w:left w:val="single" w:sz="6" w:space="0" w:color="auto"/>
              <w:bottom w:val="single" w:sz="6" w:space="0" w:color="auto"/>
              <w:right w:val="single" w:sz="6" w:space="0" w:color="auto"/>
            </w:tcBorders>
          </w:tcPr>
          <w:p w14:paraId="7FDCDA8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17,1</w:t>
            </w:r>
          </w:p>
        </w:tc>
        <w:tc>
          <w:tcPr>
            <w:tcW w:w="1132" w:type="dxa"/>
            <w:tcBorders>
              <w:top w:val="single" w:sz="6" w:space="0" w:color="auto"/>
              <w:left w:val="single" w:sz="6" w:space="0" w:color="auto"/>
              <w:bottom w:val="single" w:sz="6" w:space="0" w:color="auto"/>
              <w:right w:val="single" w:sz="6" w:space="0" w:color="auto"/>
            </w:tcBorders>
          </w:tcPr>
          <w:p w14:paraId="56B8794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16,6</w:t>
            </w:r>
          </w:p>
        </w:tc>
        <w:tc>
          <w:tcPr>
            <w:tcW w:w="1132" w:type="dxa"/>
            <w:tcBorders>
              <w:top w:val="single" w:sz="6" w:space="0" w:color="auto"/>
              <w:left w:val="single" w:sz="6" w:space="0" w:color="auto"/>
              <w:bottom w:val="single" w:sz="6" w:space="0" w:color="auto"/>
              <w:right w:val="single" w:sz="6" w:space="0" w:color="auto"/>
            </w:tcBorders>
          </w:tcPr>
          <w:p w14:paraId="7E12A6B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13,3</w:t>
            </w:r>
          </w:p>
        </w:tc>
        <w:tc>
          <w:tcPr>
            <w:tcW w:w="1132" w:type="dxa"/>
            <w:tcBorders>
              <w:top w:val="single" w:sz="6" w:space="0" w:color="auto"/>
              <w:left w:val="single" w:sz="6" w:space="0" w:color="auto"/>
              <w:bottom w:val="single" w:sz="6" w:space="0" w:color="auto"/>
              <w:right w:val="single" w:sz="6" w:space="0" w:color="auto"/>
            </w:tcBorders>
          </w:tcPr>
          <w:p w14:paraId="2C936EB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12,9</w:t>
            </w:r>
          </w:p>
        </w:tc>
      </w:tr>
      <w:tr w:rsidR="003D4454" w:rsidRPr="00C9671E" w14:paraId="186E98B2" w14:textId="77777777" w:rsidTr="00705B41">
        <w:trPr>
          <w:cantSplit/>
          <w:trHeight w:val="223"/>
        </w:trPr>
        <w:tc>
          <w:tcPr>
            <w:tcW w:w="6817" w:type="dxa"/>
            <w:tcBorders>
              <w:top w:val="nil"/>
              <w:left w:val="nil"/>
              <w:bottom w:val="nil"/>
              <w:right w:val="nil"/>
            </w:tcBorders>
          </w:tcPr>
          <w:p w14:paraId="7B670A4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3B02440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60F95CB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967E3C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19B163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5AF7D7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86E11E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1B0D8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624E3DAA" w14:textId="77777777" w:rsidTr="00705B41">
        <w:trPr>
          <w:cantSplit/>
          <w:trHeight w:val="223"/>
        </w:trPr>
        <w:tc>
          <w:tcPr>
            <w:tcW w:w="6817" w:type="dxa"/>
            <w:tcBorders>
              <w:top w:val="nil"/>
              <w:left w:val="nil"/>
              <w:bottom w:val="nil"/>
              <w:right w:val="nil"/>
            </w:tcBorders>
          </w:tcPr>
          <w:p w14:paraId="65E4913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Социјална кохезија</w:t>
            </w:r>
          </w:p>
        </w:tc>
        <w:tc>
          <w:tcPr>
            <w:tcW w:w="752" w:type="dxa"/>
            <w:tcBorders>
              <w:top w:val="single" w:sz="6" w:space="0" w:color="auto"/>
              <w:left w:val="single" w:sz="6" w:space="0" w:color="auto"/>
              <w:bottom w:val="single" w:sz="6" w:space="0" w:color="auto"/>
              <w:right w:val="single" w:sz="6" w:space="0" w:color="auto"/>
            </w:tcBorders>
          </w:tcPr>
          <w:p w14:paraId="0CA4FAA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3030873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50BF81A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5DDD9A2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196F32F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5A02158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1D019F7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420AE2D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EA0828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Просечни номинални месечни надници и плати (во национална валута)</w:t>
            </w:r>
          </w:p>
        </w:tc>
        <w:tc>
          <w:tcPr>
            <w:tcW w:w="752" w:type="dxa"/>
            <w:tcBorders>
              <w:top w:val="single" w:sz="6" w:space="0" w:color="auto"/>
              <w:left w:val="single" w:sz="6" w:space="0" w:color="auto"/>
              <w:bottom w:val="single" w:sz="6" w:space="0" w:color="auto"/>
              <w:right w:val="single" w:sz="6" w:space="0" w:color="auto"/>
            </w:tcBorders>
          </w:tcPr>
          <w:p w14:paraId="1EBBE10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8B5037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957 w</w:t>
            </w:r>
          </w:p>
        </w:tc>
        <w:tc>
          <w:tcPr>
            <w:tcW w:w="1132" w:type="dxa"/>
            <w:tcBorders>
              <w:top w:val="single" w:sz="6" w:space="0" w:color="auto"/>
              <w:left w:val="single" w:sz="6" w:space="0" w:color="auto"/>
              <w:bottom w:val="single" w:sz="6" w:space="0" w:color="auto"/>
              <w:right w:val="single" w:sz="6" w:space="0" w:color="auto"/>
            </w:tcBorders>
          </w:tcPr>
          <w:p w14:paraId="4351D2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342 w</w:t>
            </w:r>
          </w:p>
        </w:tc>
        <w:tc>
          <w:tcPr>
            <w:tcW w:w="1132" w:type="dxa"/>
            <w:tcBorders>
              <w:top w:val="single" w:sz="6" w:space="0" w:color="auto"/>
              <w:left w:val="single" w:sz="6" w:space="0" w:color="auto"/>
              <w:bottom w:val="single" w:sz="6" w:space="0" w:color="auto"/>
              <w:right w:val="single" w:sz="6" w:space="0" w:color="auto"/>
            </w:tcBorders>
          </w:tcPr>
          <w:p w14:paraId="350476A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928 w</w:t>
            </w:r>
          </w:p>
        </w:tc>
        <w:tc>
          <w:tcPr>
            <w:tcW w:w="1132" w:type="dxa"/>
            <w:tcBorders>
              <w:top w:val="single" w:sz="6" w:space="0" w:color="auto"/>
              <w:left w:val="single" w:sz="6" w:space="0" w:color="auto"/>
              <w:bottom w:val="single" w:sz="6" w:space="0" w:color="auto"/>
              <w:right w:val="single" w:sz="6" w:space="0" w:color="auto"/>
            </w:tcBorders>
          </w:tcPr>
          <w:p w14:paraId="0748A0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276 w</w:t>
            </w:r>
          </w:p>
        </w:tc>
        <w:tc>
          <w:tcPr>
            <w:tcW w:w="1132" w:type="dxa"/>
            <w:tcBorders>
              <w:top w:val="single" w:sz="6" w:space="0" w:color="auto"/>
              <w:left w:val="single" w:sz="6" w:space="0" w:color="auto"/>
              <w:bottom w:val="single" w:sz="6" w:space="0" w:color="auto"/>
              <w:right w:val="single" w:sz="6" w:space="0" w:color="auto"/>
            </w:tcBorders>
          </w:tcPr>
          <w:p w14:paraId="0840A6C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213 w</w:t>
            </w:r>
          </w:p>
        </w:tc>
        <w:tc>
          <w:tcPr>
            <w:tcW w:w="1132" w:type="dxa"/>
            <w:tcBorders>
              <w:top w:val="single" w:sz="6" w:space="0" w:color="auto"/>
              <w:left w:val="single" w:sz="6" w:space="0" w:color="auto"/>
              <w:bottom w:val="single" w:sz="6" w:space="0" w:color="auto"/>
              <w:right w:val="single" w:sz="6" w:space="0" w:color="auto"/>
            </w:tcBorders>
          </w:tcPr>
          <w:p w14:paraId="334A3CC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w:t>
            </w:r>
            <w:r w:rsidRPr="00C9671E">
              <w:rPr>
                <w:rFonts w:ascii="Times New Roman" w:hAnsi="Times New Roman" w:cs="Times New Roman"/>
                <w:color w:val="000000"/>
                <w:sz w:val="24"/>
                <w:szCs w:val="24"/>
                <w:lang w:val="en-US"/>
              </w:rPr>
              <w:t>.</w:t>
            </w:r>
            <w:r w:rsidRPr="00C9671E">
              <w:rPr>
                <w:rFonts w:ascii="Times New Roman" w:hAnsi="Times New Roman" w:cs="Times New Roman"/>
                <w:color w:val="000000"/>
                <w:sz w:val="24"/>
                <w:szCs w:val="24"/>
              </w:rPr>
              <w:t>182 w</w:t>
            </w:r>
          </w:p>
        </w:tc>
      </w:tr>
      <w:tr w:rsidR="003D4454" w:rsidRPr="00C9671E" w14:paraId="7026924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6ACC9D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Индекс на реални надници и плати (индекс на номинални надници и плати поделен со индексот на инфлација) (2016 = 100)</w:t>
            </w:r>
          </w:p>
        </w:tc>
        <w:tc>
          <w:tcPr>
            <w:tcW w:w="752" w:type="dxa"/>
            <w:tcBorders>
              <w:top w:val="single" w:sz="6" w:space="0" w:color="auto"/>
              <w:left w:val="single" w:sz="6" w:space="0" w:color="auto"/>
              <w:bottom w:val="single" w:sz="6" w:space="0" w:color="auto"/>
              <w:right w:val="single" w:sz="6" w:space="0" w:color="auto"/>
            </w:tcBorders>
          </w:tcPr>
          <w:p w14:paraId="1DC8FDE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2C0450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99 w</w:t>
            </w:r>
          </w:p>
        </w:tc>
        <w:tc>
          <w:tcPr>
            <w:tcW w:w="1132" w:type="dxa"/>
            <w:tcBorders>
              <w:top w:val="single" w:sz="6" w:space="0" w:color="auto"/>
              <w:left w:val="single" w:sz="6" w:space="0" w:color="auto"/>
              <w:bottom w:val="single" w:sz="6" w:space="0" w:color="auto"/>
              <w:right w:val="single" w:sz="6" w:space="0" w:color="auto"/>
            </w:tcBorders>
          </w:tcPr>
          <w:p w14:paraId="65240DE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100 w</w:t>
            </w:r>
          </w:p>
        </w:tc>
        <w:tc>
          <w:tcPr>
            <w:tcW w:w="1132" w:type="dxa"/>
            <w:tcBorders>
              <w:top w:val="single" w:sz="6" w:space="0" w:color="auto"/>
              <w:left w:val="single" w:sz="6" w:space="0" w:color="auto"/>
              <w:bottom w:val="single" w:sz="6" w:space="0" w:color="auto"/>
              <w:right w:val="single" w:sz="6" w:space="0" w:color="auto"/>
            </w:tcBorders>
          </w:tcPr>
          <w:p w14:paraId="33364F4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101 w</w:t>
            </w:r>
          </w:p>
        </w:tc>
        <w:tc>
          <w:tcPr>
            <w:tcW w:w="1132" w:type="dxa"/>
            <w:tcBorders>
              <w:top w:val="single" w:sz="6" w:space="0" w:color="auto"/>
              <w:left w:val="single" w:sz="6" w:space="0" w:color="auto"/>
              <w:bottom w:val="single" w:sz="6" w:space="0" w:color="auto"/>
              <w:right w:val="single" w:sz="6" w:space="0" w:color="auto"/>
            </w:tcBorders>
          </w:tcPr>
          <w:p w14:paraId="458B3F8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106 w</w:t>
            </w:r>
          </w:p>
        </w:tc>
        <w:tc>
          <w:tcPr>
            <w:tcW w:w="1132" w:type="dxa"/>
            <w:tcBorders>
              <w:top w:val="single" w:sz="6" w:space="0" w:color="auto"/>
              <w:left w:val="single" w:sz="6" w:space="0" w:color="auto"/>
              <w:bottom w:val="single" w:sz="6" w:space="0" w:color="auto"/>
              <w:right w:val="single" w:sz="6" w:space="0" w:color="auto"/>
            </w:tcBorders>
          </w:tcPr>
          <w:p w14:paraId="0A1068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109 w</w:t>
            </w:r>
          </w:p>
        </w:tc>
        <w:tc>
          <w:tcPr>
            <w:tcW w:w="1132" w:type="dxa"/>
            <w:tcBorders>
              <w:top w:val="single" w:sz="6" w:space="0" w:color="auto"/>
              <w:left w:val="single" w:sz="6" w:space="0" w:color="auto"/>
              <w:bottom w:val="single" w:sz="6" w:space="0" w:color="auto"/>
              <w:right w:val="single" w:sz="6" w:space="0" w:color="auto"/>
            </w:tcBorders>
          </w:tcPr>
          <w:p w14:paraId="328D41E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116 w</w:t>
            </w:r>
          </w:p>
        </w:tc>
      </w:tr>
      <w:tr w:rsidR="003D4454" w:rsidRPr="00C9671E" w14:paraId="25AAD50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2C5EF8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ЏИНИЕВ коефициент</w:t>
            </w:r>
          </w:p>
        </w:tc>
        <w:tc>
          <w:tcPr>
            <w:tcW w:w="752" w:type="dxa"/>
            <w:tcBorders>
              <w:top w:val="single" w:sz="6" w:space="0" w:color="auto"/>
              <w:left w:val="single" w:sz="6" w:space="0" w:color="auto"/>
              <w:bottom w:val="single" w:sz="6" w:space="0" w:color="auto"/>
              <w:right w:val="single" w:sz="6" w:space="0" w:color="auto"/>
            </w:tcBorders>
          </w:tcPr>
          <w:p w14:paraId="4E82EA2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F5CD6E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7ACE00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34</w:t>
            </w:r>
          </w:p>
        </w:tc>
        <w:tc>
          <w:tcPr>
            <w:tcW w:w="1132" w:type="dxa"/>
            <w:tcBorders>
              <w:top w:val="single" w:sz="6" w:space="0" w:color="auto"/>
              <w:left w:val="single" w:sz="6" w:space="0" w:color="auto"/>
              <w:bottom w:val="single" w:sz="6" w:space="0" w:color="auto"/>
              <w:right w:val="single" w:sz="6" w:space="0" w:color="auto"/>
            </w:tcBorders>
          </w:tcPr>
          <w:p w14:paraId="3E1BB9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w:t>
            </w:r>
          </w:p>
        </w:tc>
        <w:tc>
          <w:tcPr>
            <w:tcW w:w="1132" w:type="dxa"/>
            <w:tcBorders>
              <w:top w:val="single" w:sz="6" w:space="0" w:color="auto"/>
              <w:left w:val="single" w:sz="6" w:space="0" w:color="auto"/>
              <w:bottom w:val="single" w:sz="6" w:space="0" w:color="auto"/>
              <w:right w:val="single" w:sz="6" w:space="0" w:color="auto"/>
            </w:tcBorders>
          </w:tcPr>
          <w:p w14:paraId="4898C96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w:t>
            </w:r>
          </w:p>
        </w:tc>
        <w:tc>
          <w:tcPr>
            <w:tcW w:w="1132" w:type="dxa"/>
            <w:tcBorders>
              <w:top w:val="single" w:sz="6" w:space="0" w:color="auto"/>
              <w:left w:val="single" w:sz="6" w:space="0" w:color="auto"/>
              <w:bottom w:val="single" w:sz="6" w:space="0" w:color="auto"/>
              <w:right w:val="single" w:sz="6" w:space="0" w:color="auto"/>
            </w:tcBorders>
          </w:tcPr>
          <w:p w14:paraId="2874302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w:t>
            </w:r>
          </w:p>
        </w:tc>
        <w:tc>
          <w:tcPr>
            <w:tcW w:w="1132" w:type="dxa"/>
            <w:tcBorders>
              <w:top w:val="single" w:sz="6" w:space="0" w:color="auto"/>
              <w:left w:val="single" w:sz="6" w:space="0" w:color="auto"/>
              <w:bottom w:val="single" w:sz="6" w:space="0" w:color="auto"/>
              <w:right w:val="single" w:sz="6" w:space="0" w:color="auto"/>
            </w:tcBorders>
          </w:tcPr>
          <w:p w14:paraId="0C68A5B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31</w:t>
            </w:r>
          </w:p>
        </w:tc>
      </w:tr>
      <w:tr w:rsidR="003D4454" w:rsidRPr="00C9671E" w14:paraId="79FB306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5BBE63B"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Јаз на сиромаштија</w:t>
            </w:r>
          </w:p>
        </w:tc>
        <w:tc>
          <w:tcPr>
            <w:tcW w:w="752" w:type="dxa"/>
            <w:tcBorders>
              <w:top w:val="single" w:sz="6" w:space="0" w:color="auto"/>
              <w:left w:val="single" w:sz="6" w:space="0" w:color="auto"/>
              <w:bottom w:val="single" w:sz="6" w:space="0" w:color="auto"/>
              <w:right w:val="single" w:sz="6" w:space="0" w:color="auto"/>
            </w:tcBorders>
          </w:tcPr>
          <w:p w14:paraId="347C3A1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CCDDB0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0585E6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32,9</w:t>
            </w:r>
          </w:p>
        </w:tc>
        <w:tc>
          <w:tcPr>
            <w:tcW w:w="1132" w:type="dxa"/>
            <w:tcBorders>
              <w:top w:val="single" w:sz="6" w:space="0" w:color="auto"/>
              <w:left w:val="single" w:sz="6" w:space="0" w:color="auto"/>
              <w:bottom w:val="single" w:sz="6" w:space="0" w:color="auto"/>
              <w:right w:val="single" w:sz="6" w:space="0" w:color="auto"/>
            </w:tcBorders>
          </w:tcPr>
          <w:p w14:paraId="792989F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37,3</w:t>
            </w:r>
          </w:p>
        </w:tc>
        <w:tc>
          <w:tcPr>
            <w:tcW w:w="1132" w:type="dxa"/>
            <w:tcBorders>
              <w:top w:val="single" w:sz="6" w:space="0" w:color="auto"/>
              <w:left w:val="single" w:sz="6" w:space="0" w:color="auto"/>
              <w:bottom w:val="single" w:sz="6" w:space="0" w:color="auto"/>
              <w:right w:val="single" w:sz="6" w:space="0" w:color="auto"/>
            </w:tcBorders>
          </w:tcPr>
          <w:p w14:paraId="499F146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37,7</w:t>
            </w:r>
          </w:p>
        </w:tc>
        <w:tc>
          <w:tcPr>
            <w:tcW w:w="1132" w:type="dxa"/>
            <w:tcBorders>
              <w:top w:val="single" w:sz="6" w:space="0" w:color="auto"/>
              <w:left w:val="single" w:sz="6" w:space="0" w:color="auto"/>
              <w:bottom w:val="single" w:sz="6" w:space="0" w:color="auto"/>
              <w:right w:val="single" w:sz="6" w:space="0" w:color="auto"/>
            </w:tcBorders>
          </w:tcPr>
          <w:p w14:paraId="76DDE86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32,0</w:t>
            </w:r>
          </w:p>
        </w:tc>
        <w:tc>
          <w:tcPr>
            <w:tcW w:w="1132" w:type="dxa"/>
            <w:tcBorders>
              <w:top w:val="single" w:sz="6" w:space="0" w:color="auto"/>
              <w:left w:val="single" w:sz="6" w:space="0" w:color="auto"/>
              <w:bottom w:val="single" w:sz="6" w:space="0" w:color="auto"/>
              <w:right w:val="single" w:sz="6" w:space="0" w:color="auto"/>
            </w:tcBorders>
          </w:tcPr>
          <w:p w14:paraId="3A2A0B2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34,9</w:t>
            </w:r>
          </w:p>
        </w:tc>
      </w:tr>
      <w:tr w:rsidR="003D4454" w:rsidRPr="00C9671E" w14:paraId="218FFC3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47C0F8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*Рано напуштање на образование и обука: дел од населението на возраст од 18 до 24 години со завршено најмногу ниско образование, кои повеќе не посетуваат образование или обука (%)</w:t>
            </w:r>
          </w:p>
        </w:tc>
        <w:tc>
          <w:tcPr>
            <w:tcW w:w="752" w:type="dxa"/>
            <w:tcBorders>
              <w:top w:val="single" w:sz="6" w:space="0" w:color="auto"/>
              <w:left w:val="single" w:sz="6" w:space="0" w:color="auto"/>
              <w:bottom w:val="single" w:sz="6" w:space="0" w:color="auto"/>
              <w:right w:val="single" w:sz="6" w:space="0" w:color="auto"/>
            </w:tcBorders>
          </w:tcPr>
          <w:p w14:paraId="166D2FB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5CC991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16,2</w:t>
            </w:r>
          </w:p>
        </w:tc>
        <w:tc>
          <w:tcPr>
            <w:tcW w:w="1132" w:type="dxa"/>
            <w:tcBorders>
              <w:top w:val="single" w:sz="6" w:space="0" w:color="auto"/>
              <w:left w:val="single" w:sz="6" w:space="0" w:color="auto"/>
              <w:bottom w:val="single" w:sz="6" w:space="0" w:color="auto"/>
              <w:right w:val="single" w:sz="6" w:space="0" w:color="auto"/>
            </w:tcBorders>
          </w:tcPr>
          <w:p w14:paraId="4519A26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9,9</w:t>
            </w:r>
          </w:p>
        </w:tc>
        <w:tc>
          <w:tcPr>
            <w:tcW w:w="1132" w:type="dxa"/>
            <w:tcBorders>
              <w:top w:val="single" w:sz="6" w:space="0" w:color="auto"/>
              <w:left w:val="single" w:sz="6" w:space="0" w:color="auto"/>
              <w:bottom w:val="single" w:sz="6" w:space="0" w:color="auto"/>
              <w:right w:val="single" w:sz="6" w:space="0" w:color="auto"/>
            </w:tcBorders>
          </w:tcPr>
          <w:p w14:paraId="0378394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8,5</w:t>
            </w:r>
          </w:p>
        </w:tc>
        <w:tc>
          <w:tcPr>
            <w:tcW w:w="1132" w:type="dxa"/>
            <w:tcBorders>
              <w:top w:val="single" w:sz="6" w:space="0" w:color="auto"/>
              <w:left w:val="single" w:sz="6" w:space="0" w:color="auto"/>
              <w:bottom w:val="single" w:sz="6" w:space="0" w:color="auto"/>
              <w:right w:val="single" w:sz="6" w:space="0" w:color="auto"/>
            </w:tcBorders>
          </w:tcPr>
          <w:p w14:paraId="363A86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7,1</w:t>
            </w:r>
          </w:p>
        </w:tc>
        <w:tc>
          <w:tcPr>
            <w:tcW w:w="1132" w:type="dxa"/>
            <w:tcBorders>
              <w:top w:val="single" w:sz="6" w:space="0" w:color="auto"/>
              <w:left w:val="single" w:sz="6" w:space="0" w:color="auto"/>
              <w:bottom w:val="single" w:sz="6" w:space="0" w:color="auto"/>
              <w:right w:val="single" w:sz="6" w:space="0" w:color="auto"/>
            </w:tcBorders>
          </w:tcPr>
          <w:p w14:paraId="7E4B918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7,1</w:t>
            </w:r>
          </w:p>
        </w:tc>
        <w:tc>
          <w:tcPr>
            <w:tcW w:w="1132" w:type="dxa"/>
            <w:tcBorders>
              <w:top w:val="single" w:sz="6" w:space="0" w:color="auto"/>
              <w:left w:val="single" w:sz="6" w:space="0" w:color="auto"/>
              <w:bottom w:val="single" w:sz="6" w:space="0" w:color="auto"/>
              <w:right w:val="single" w:sz="6" w:space="0" w:color="auto"/>
            </w:tcBorders>
          </w:tcPr>
          <w:p w14:paraId="341B97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w:t>
            </w:r>
          </w:p>
        </w:tc>
      </w:tr>
      <w:tr w:rsidR="003D4454" w:rsidRPr="00C9671E" w14:paraId="26662C12" w14:textId="77777777" w:rsidTr="00705B41">
        <w:trPr>
          <w:cantSplit/>
          <w:trHeight w:val="223"/>
        </w:trPr>
        <w:tc>
          <w:tcPr>
            <w:tcW w:w="6817" w:type="dxa"/>
            <w:tcBorders>
              <w:top w:val="nil"/>
              <w:left w:val="nil"/>
              <w:bottom w:val="nil"/>
              <w:right w:val="nil"/>
            </w:tcBorders>
          </w:tcPr>
          <w:p w14:paraId="2BCBA758"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3EDF9AE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2345A79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423C383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B46157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AB31F0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4B9EF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C132B0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6CA58ED6" w14:textId="77777777" w:rsidTr="00705B41">
        <w:trPr>
          <w:cantSplit/>
          <w:trHeight w:val="223"/>
        </w:trPr>
        <w:tc>
          <w:tcPr>
            <w:tcW w:w="6817" w:type="dxa"/>
            <w:tcBorders>
              <w:top w:val="nil"/>
              <w:left w:val="nil"/>
              <w:bottom w:val="nil"/>
              <w:right w:val="nil"/>
            </w:tcBorders>
          </w:tcPr>
          <w:p w14:paraId="38B56C6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Животен стандард</w:t>
            </w:r>
          </w:p>
        </w:tc>
        <w:tc>
          <w:tcPr>
            <w:tcW w:w="752" w:type="dxa"/>
            <w:tcBorders>
              <w:top w:val="single" w:sz="6" w:space="0" w:color="auto"/>
              <w:left w:val="single" w:sz="6" w:space="0" w:color="auto"/>
              <w:bottom w:val="single" w:sz="6" w:space="0" w:color="auto"/>
              <w:right w:val="single" w:sz="6" w:space="0" w:color="auto"/>
            </w:tcBorders>
          </w:tcPr>
          <w:p w14:paraId="230D932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5AD2F4D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6A06D1D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22ADE0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0380F6B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0585301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619358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7909A26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66596B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Број на патнички возила во однос на големината на населението (број на илјада жители)</w:t>
            </w:r>
          </w:p>
        </w:tc>
        <w:tc>
          <w:tcPr>
            <w:tcW w:w="752" w:type="dxa"/>
            <w:tcBorders>
              <w:top w:val="single" w:sz="6" w:space="0" w:color="auto"/>
              <w:left w:val="single" w:sz="6" w:space="0" w:color="auto"/>
              <w:bottom w:val="single" w:sz="6" w:space="0" w:color="auto"/>
              <w:right w:val="single" w:sz="6" w:space="0" w:color="auto"/>
            </w:tcBorders>
          </w:tcPr>
          <w:p w14:paraId="22539E68"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CF0D0E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137,0</w:t>
            </w:r>
          </w:p>
        </w:tc>
        <w:tc>
          <w:tcPr>
            <w:tcW w:w="1132" w:type="dxa"/>
            <w:tcBorders>
              <w:top w:val="single" w:sz="6" w:space="0" w:color="auto"/>
              <w:left w:val="single" w:sz="6" w:space="0" w:color="auto"/>
              <w:bottom w:val="single" w:sz="6" w:space="0" w:color="auto"/>
              <w:right w:val="single" w:sz="6" w:space="0" w:color="auto"/>
            </w:tcBorders>
          </w:tcPr>
          <w:p w14:paraId="3D8AEE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190,0</w:t>
            </w:r>
          </w:p>
        </w:tc>
        <w:tc>
          <w:tcPr>
            <w:tcW w:w="1132" w:type="dxa"/>
            <w:tcBorders>
              <w:top w:val="single" w:sz="6" w:space="0" w:color="auto"/>
              <w:left w:val="single" w:sz="6" w:space="0" w:color="auto"/>
              <w:bottom w:val="single" w:sz="6" w:space="0" w:color="auto"/>
              <w:right w:val="single" w:sz="6" w:space="0" w:color="auto"/>
            </w:tcBorders>
          </w:tcPr>
          <w:p w14:paraId="15EF9AA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194,0</w:t>
            </w:r>
          </w:p>
        </w:tc>
        <w:tc>
          <w:tcPr>
            <w:tcW w:w="1132" w:type="dxa"/>
            <w:tcBorders>
              <w:top w:val="single" w:sz="6" w:space="0" w:color="auto"/>
              <w:left w:val="single" w:sz="6" w:space="0" w:color="auto"/>
              <w:bottom w:val="single" w:sz="6" w:space="0" w:color="auto"/>
              <w:right w:val="single" w:sz="6" w:space="0" w:color="auto"/>
            </w:tcBorders>
          </w:tcPr>
          <w:p w14:paraId="240DC2C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200,0</w:t>
            </w:r>
          </w:p>
        </w:tc>
        <w:tc>
          <w:tcPr>
            <w:tcW w:w="1132" w:type="dxa"/>
            <w:tcBorders>
              <w:top w:val="single" w:sz="6" w:space="0" w:color="auto"/>
              <w:left w:val="single" w:sz="6" w:space="0" w:color="auto"/>
              <w:bottom w:val="single" w:sz="6" w:space="0" w:color="auto"/>
              <w:right w:val="single" w:sz="6" w:space="0" w:color="auto"/>
            </w:tcBorders>
          </w:tcPr>
          <w:p w14:paraId="3EF7182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205,0</w:t>
            </w:r>
          </w:p>
        </w:tc>
        <w:tc>
          <w:tcPr>
            <w:tcW w:w="1132" w:type="dxa"/>
            <w:tcBorders>
              <w:top w:val="single" w:sz="6" w:space="0" w:color="auto"/>
              <w:left w:val="single" w:sz="6" w:space="0" w:color="auto"/>
              <w:bottom w:val="single" w:sz="6" w:space="0" w:color="auto"/>
              <w:right w:val="single" w:sz="6" w:space="0" w:color="auto"/>
            </w:tcBorders>
          </w:tcPr>
          <w:p w14:paraId="2866564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207,0</w:t>
            </w:r>
          </w:p>
        </w:tc>
      </w:tr>
      <w:tr w:rsidR="003D4454" w:rsidRPr="00C9671E" w14:paraId="2736202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1A8793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Број на претплати за мобилна телефонија во однос на големината на населението (број на илјада жители)</w:t>
            </w:r>
          </w:p>
        </w:tc>
        <w:tc>
          <w:tcPr>
            <w:tcW w:w="752" w:type="dxa"/>
            <w:tcBorders>
              <w:top w:val="single" w:sz="6" w:space="0" w:color="auto"/>
              <w:left w:val="single" w:sz="6" w:space="0" w:color="auto"/>
              <w:bottom w:val="single" w:sz="6" w:space="0" w:color="auto"/>
              <w:right w:val="single" w:sz="6" w:space="0" w:color="auto"/>
            </w:tcBorders>
          </w:tcPr>
          <w:p w14:paraId="373E787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w:t>
            </w:r>
          </w:p>
        </w:tc>
        <w:tc>
          <w:tcPr>
            <w:tcW w:w="946" w:type="dxa"/>
            <w:tcBorders>
              <w:top w:val="single" w:sz="6" w:space="0" w:color="auto"/>
              <w:left w:val="single" w:sz="6" w:space="0" w:color="auto"/>
              <w:bottom w:val="single" w:sz="6" w:space="0" w:color="auto"/>
              <w:right w:val="single" w:sz="6" w:space="0" w:color="auto"/>
            </w:tcBorders>
          </w:tcPr>
          <w:p w14:paraId="72A0260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948,4 w</w:t>
            </w:r>
          </w:p>
        </w:tc>
        <w:tc>
          <w:tcPr>
            <w:tcW w:w="1132" w:type="dxa"/>
            <w:tcBorders>
              <w:top w:val="single" w:sz="6" w:space="0" w:color="auto"/>
              <w:left w:val="single" w:sz="6" w:space="0" w:color="auto"/>
              <w:bottom w:val="single" w:sz="6" w:space="0" w:color="auto"/>
              <w:right w:val="single" w:sz="6" w:space="0" w:color="auto"/>
            </w:tcBorders>
          </w:tcPr>
          <w:p w14:paraId="04DFB3B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989,9 w</w:t>
            </w:r>
          </w:p>
        </w:tc>
        <w:tc>
          <w:tcPr>
            <w:tcW w:w="1132" w:type="dxa"/>
            <w:tcBorders>
              <w:top w:val="single" w:sz="6" w:space="0" w:color="auto"/>
              <w:left w:val="single" w:sz="6" w:space="0" w:color="auto"/>
              <w:bottom w:val="single" w:sz="6" w:space="0" w:color="auto"/>
              <w:right w:val="single" w:sz="6" w:space="0" w:color="auto"/>
            </w:tcBorders>
          </w:tcPr>
          <w:p w14:paraId="14FE069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968,3 w</w:t>
            </w:r>
          </w:p>
        </w:tc>
        <w:tc>
          <w:tcPr>
            <w:tcW w:w="1132" w:type="dxa"/>
            <w:tcBorders>
              <w:top w:val="single" w:sz="6" w:space="0" w:color="auto"/>
              <w:left w:val="single" w:sz="6" w:space="0" w:color="auto"/>
              <w:bottom w:val="single" w:sz="6" w:space="0" w:color="auto"/>
              <w:right w:val="single" w:sz="6" w:space="0" w:color="auto"/>
            </w:tcBorders>
          </w:tcPr>
          <w:p w14:paraId="704F8E8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935,9 w</w:t>
            </w:r>
          </w:p>
        </w:tc>
        <w:tc>
          <w:tcPr>
            <w:tcW w:w="1132" w:type="dxa"/>
            <w:tcBorders>
              <w:top w:val="single" w:sz="6" w:space="0" w:color="auto"/>
              <w:left w:val="single" w:sz="6" w:space="0" w:color="auto"/>
              <w:bottom w:val="single" w:sz="6" w:space="0" w:color="auto"/>
              <w:right w:val="single" w:sz="6" w:space="0" w:color="auto"/>
            </w:tcBorders>
          </w:tcPr>
          <w:p w14:paraId="371C537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924,8 w</w:t>
            </w:r>
          </w:p>
        </w:tc>
        <w:tc>
          <w:tcPr>
            <w:tcW w:w="1132" w:type="dxa"/>
            <w:tcBorders>
              <w:top w:val="single" w:sz="6" w:space="0" w:color="auto"/>
              <w:left w:val="single" w:sz="6" w:space="0" w:color="auto"/>
              <w:bottom w:val="single" w:sz="6" w:space="0" w:color="auto"/>
              <w:right w:val="single" w:sz="6" w:space="0" w:color="auto"/>
            </w:tcBorders>
          </w:tcPr>
          <w:p w14:paraId="54BB0E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896,8 w</w:t>
            </w:r>
          </w:p>
        </w:tc>
      </w:tr>
      <w:tr w:rsidR="003D4454" w:rsidRPr="00C9671E" w14:paraId="7AAC9F8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27D742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Пенетрација на мобилен широкопојасен интернет (на 100 жители)</w:t>
            </w:r>
          </w:p>
        </w:tc>
        <w:tc>
          <w:tcPr>
            <w:tcW w:w="752" w:type="dxa"/>
            <w:tcBorders>
              <w:top w:val="single" w:sz="6" w:space="0" w:color="auto"/>
              <w:left w:val="single" w:sz="6" w:space="0" w:color="auto"/>
              <w:bottom w:val="single" w:sz="6" w:space="0" w:color="auto"/>
              <w:right w:val="single" w:sz="6" w:space="0" w:color="auto"/>
            </w:tcBorders>
          </w:tcPr>
          <w:p w14:paraId="01DCF3A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w:t>
            </w:r>
          </w:p>
        </w:tc>
        <w:tc>
          <w:tcPr>
            <w:tcW w:w="946" w:type="dxa"/>
            <w:tcBorders>
              <w:top w:val="single" w:sz="6" w:space="0" w:color="auto"/>
              <w:left w:val="single" w:sz="6" w:space="0" w:color="auto"/>
              <w:bottom w:val="single" w:sz="6" w:space="0" w:color="auto"/>
              <w:right w:val="single" w:sz="6" w:space="0" w:color="auto"/>
            </w:tcBorders>
          </w:tcPr>
          <w:p w14:paraId="147C031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48F76C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57,4 w</w:t>
            </w:r>
          </w:p>
        </w:tc>
        <w:tc>
          <w:tcPr>
            <w:tcW w:w="1132" w:type="dxa"/>
            <w:tcBorders>
              <w:top w:val="single" w:sz="6" w:space="0" w:color="auto"/>
              <w:left w:val="single" w:sz="6" w:space="0" w:color="auto"/>
              <w:bottom w:val="single" w:sz="6" w:space="0" w:color="auto"/>
              <w:right w:val="single" w:sz="6" w:space="0" w:color="auto"/>
            </w:tcBorders>
          </w:tcPr>
          <w:p w14:paraId="3ECB9C1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61,1 w</w:t>
            </w:r>
          </w:p>
        </w:tc>
        <w:tc>
          <w:tcPr>
            <w:tcW w:w="1132" w:type="dxa"/>
            <w:tcBorders>
              <w:top w:val="single" w:sz="6" w:space="0" w:color="auto"/>
              <w:left w:val="single" w:sz="6" w:space="0" w:color="auto"/>
              <w:bottom w:val="single" w:sz="6" w:space="0" w:color="auto"/>
              <w:right w:val="single" w:sz="6" w:space="0" w:color="auto"/>
            </w:tcBorders>
          </w:tcPr>
          <w:p w14:paraId="242FC7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60,9 w</w:t>
            </w:r>
          </w:p>
        </w:tc>
        <w:tc>
          <w:tcPr>
            <w:tcW w:w="1132" w:type="dxa"/>
            <w:tcBorders>
              <w:top w:val="single" w:sz="6" w:space="0" w:color="auto"/>
              <w:left w:val="single" w:sz="6" w:space="0" w:color="auto"/>
              <w:bottom w:val="single" w:sz="6" w:space="0" w:color="auto"/>
              <w:right w:val="single" w:sz="6" w:space="0" w:color="auto"/>
            </w:tcBorders>
          </w:tcPr>
          <w:p w14:paraId="57F3BCA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65,1 w</w:t>
            </w:r>
          </w:p>
        </w:tc>
        <w:tc>
          <w:tcPr>
            <w:tcW w:w="1132" w:type="dxa"/>
            <w:tcBorders>
              <w:top w:val="single" w:sz="6" w:space="0" w:color="auto"/>
              <w:left w:val="single" w:sz="6" w:space="0" w:color="auto"/>
              <w:bottom w:val="single" w:sz="6" w:space="0" w:color="auto"/>
              <w:right w:val="single" w:sz="6" w:space="0" w:color="auto"/>
            </w:tcBorders>
          </w:tcPr>
          <w:p w14:paraId="3C99FDD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66,1 w</w:t>
            </w:r>
          </w:p>
        </w:tc>
      </w:tr>
      <w:tr w:rsidR="003D4454" w:rsidRPr="00C9671E" w14:paraId="2A2B900E"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B722B7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Пенетрација на фиксен широкопојасен интернет (на 100 жители)</w:t>
            </w:r>
          </w:p>
        </w:tc>
        <w:tc>
          <w:tcPr>
            <w:tcW w:w="752" w:type="dxa"/>
            <w:tcBorders>
              <w:top w:val="single" w:sz="6" w:space="0" w:color="auto"/>
              <w:left w:val="single" w:sz="6" w:space="0" w:color="auto"/>
              <w:bottom w:val="single" w:sz="6" w:space="0" w:color="auto"/>
              <w:right w:val="single" w:sz="6" w:space="0" w:color="auto"/>
            </w:tcBorders>
          </w:tcPr>
          <w:p w14:paraId="75FA00B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w:t>
            </w:r>
          </w:p>
        </w:tc>
        <w:tc>
          <w:tcPr>
            <w:tcW w:w="946" w:type="dxa"/>
            <w:tcBorders>
              <w:top w:val="single" w:sz="6" w:space="0" w:color="auto"/>
              <w:left w:val="single" w:sz="6" w:space="0" w:color="auto"/>
              <w:bottom w:val="single" w:sz="6" w:space="0" w:color="auto"/>
              <w:right w:val="single" w:sz="6" w:space="0" w:color="auto"/>
            </w:tcBorders>
          </w:tcPr>
          <w:p w14:paraId="12FB5FA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09243F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18 w</w:t>
            </w:r>
          </w:p>
        </w:tc>
        <w:tc>
          <w:tcPr>
            <w:tcW w:w="1132" w:type="dxa"/>
            <w:tcBorders>
              <w:top w:val="single" w:sz="6" w:space="0" w:color="auto"/>
              <w:left w:val="single" w:sz="6" w:space="0" w:color="auto"/>
              <w:bottom w:val="single" w:sz="6" w:space="0" w:color="auto"/>
              <w:right w:val="single" w:sz="6" w:space="0" w:color="auto"/>
            </w:tcBorders>
          </w:tcPr>
          <w:p w14:paraId="1647407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 w</w:t>
            </w:r>
          </w:p>
        </w:tc>
        <w:tc>
          <w:tcPr>
            <w:tcW w:w="1132" w:type="dxa"/>
            <w:tcBorders>
              <w:top w:val="single" w:sz="6" w:space="0" w:color="auto"/>
              <w:left w:val="single" w:sz="6" w:space="0" w:color="auto"/>
              <w:bottom w:val="single" w:sz="6" w:space="0" w:color="auto"/>
              <w:right w:val="single" w:sz="6" w:space="0" w:color="auto"/>
            </w:tcBorders>
          </w:tcPr>
          <w:p w14:paraId="467FE85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 w</w:t>
            </w:r>
          </w:p>
        </w:tc>
        <w:tc>
          <w:tcPr>
            <w:tcW w:w="1132" w:type="dxa"/>
            <w:tcBorders>
              <w:top w:val="single" w:sz="6" w:space="0" w:color="auto"/>
              <w:left w:val="single" w:sz="6" w:space="0" w:color="auto"/>
              <w:bottom w:val="single" w:sz="6" w:space="0" w:color="auto"/>
              <w:right w:val="single" w:sz="6" w:space="0" w:color="auto"/>
            </w:tcBorders>
          </w:tcPr>
          <w:p w14:paraId="34025C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 w</w:t>
            </w:r>
          </w:p>
        </w:tc>
        <w:tc>
          <w:tcPr>
            <w:tcW w:w="1132" w:type="dxa"/>
            <w:tcBorders>
              <w:top w:val="single" w:sz="6" w:space="0" w:color="auto"/>
              <w:left w:val="single" w:sz="6" w:space="0" w:color="auto"/>
              <w:bottom w:val="single" w:sz="6" w:space="0" w:color="auto"/>
              <w:right w:val="single" w:sz="6" w:space="0" w:color="auto"/>
            </w:tcBorders>
          </w:tcPr>
          <w:p w14:paraId="59A8575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 w</w:t>
            </w:r>
          </w:p>
        </w:tc>
      </w:tr>
      <w:tr w:rsidR="003D4454" w:rsidRPr="00C9671E" w14:paraId="29997610" w14:textId="77777777" w:rsidTr="00705B41">
        <w:trPr>
          <w:cantSplit/>
          <w:trHeight w:val="223"/>
        </w:trPr>
        <w:tc>
          <w:tcPr>
            <w:tcW w:w="6817" w:type="dxa"/>
            <w:tcBorders>
              <w:top w:val="nil"/>
              <w:left w:val="nil"/>
              <w:bottom w:val="nil"/>
              <w:right w:val="nil"/>
            </w:tcBorders>
          </w:tcPr>
          <w:p w14:paraId="64422EB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5A0632B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3AD363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A9C1B7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1D7278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61565A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DEA77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46FE6C9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653A06F2" w14:textId="77777777" w:rsidTr="00705B41">
        <w:trPr>
          <w:cantSplit/>
          <w:trHeight w:val="223"/>
        </w:trPr>
        <w:tc>
          <w:tcPr>
            <w:tcW w:w="6817" w:type="dxa"/>
            <w:tcBorders>
              <w:top w:val="nil"/>
              <w:left w:val="nil"/>
              <w:bottom w:val="nil"/>
              <w:right w:val="nil"/>
            </w:tcBorders>
          </w:tcPr>
          <w:p w14:paraId="7F53120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Инфраструктура</w:t>
            </w:r>
          </w:p>
        </w:tc>
        <w:tc>
          <w:tcPr>
            <w:tcW w:w="752" w:type="dxa"/>
            <w:tcBorders>
              <w:top w:val="single" w:sz="6" w:space="0" w:color="auto"/>
              <w:left w:val="single" w:sz="6" w:space="0" w:color="auto"/>
              <w:bottom w:val="single" w:sz="6" w:space="0" w:color="auto"/>
              <w:right w:val="single" w:sz="6" w:space="0" w:color="auto"/>
            </w:tcBorders>
          </w:tcPr>
          <w:p w14:paraId="30E7D56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48F2030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076A984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1F61B8B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02F8DA5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1FDC1CF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5A50B4E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17B4A92E" w14:textId="77777777" w:rsidTr="00705B41">
        <w:trPr>
          <w:cantSplit/>
          <w:trHeight w:val="253"/>
        </w:trPr>
        <w:tc>
          <w:tcPr>
            <w:tcW w:w="6817" w:type="dxa"/>
            <w:tcBorders>
              <w:top w:val="single" w:sz="6" w:space="0" w:color="auto"/>
              <w:left w:val="single" w:sz="6" w:space="0" w:color="auto"/>
              <w:bottom w:val="single" w:sz="6" w:space="0" w:color="auto"/>
              <w:right w:val="single" w:sz="6" w:space="0" w:color="auto"/>
            </w:tcBorders>
          </w:tcPr>
          <w:p w14:paraId="7E294EB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Густина на железничка мрежа (функционални линии на илјада km²)</w:t>
            </w:r>
          </w:p>
        </w:tc>
        <w:tc>
          <w:tcPr>
            <w:tcW w:w="752" w:type="dxa"/>
            <w:tcBorders>
              <w:top w:val="single" w:sz="6" w:space="0" w:color="auto"/>
              <w:left w:val="single" w:sz="6" w:space="0" w:color="auto"/>
              <w:bottom w:val="single" w:sz="6" w:space="0" w:color="auto"/>
              <w:right w:val="single" w:sz="6" w:space="0" w:color="auto"/>
            </w:tcBorders>
          </w:tcPr>
          <w:p w14:paraId="11BEF79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p>
        </w:tc>
        <w:tc>
          <w:tcPr>
            <w:tcW w:w="946" w:type="dxa"/>
            <w:tcBorders>
              <w:top w:val="single" w:sz="6" w:space="0" w:color="auto"/>
              <w:left w:val="single" w:sz="6" w:space="0" w:color="auto"/>
              <w:bottom w:val="single" w:sz="6" w:space="0" w:color="auto"/>
              <w:right w:val="single" w:sz="6" w:space="0" w:color="auto"/>
            </w:tcBorders>
          </w:tcPr>
          <w:p w14:paraId="662E102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27,5 sw</w:t>
            </w:r>
          </w:p>
        </w:tc>
        <w:tc>
          <w:tcPr>
            <w:tcW w:w="1132" w:type="dxa"/>
            <w:tcBorders>
              <w:top w:val="single" w:sz="6" w:space="0" w:color="auto"/>
              <w:left w:val="single" w:sz="6" w:space="0" w:color="auto"/>
              <w:bottom w:val="single" w:sz="6" w:space="0" w:color="auto"/>
              <w:right w:val="single" w:sz="6" w:space="0" w:color="auto"/>
            </w:tcBorders>
          </w:tcPr>
          <w:p w14:paraId="102FC63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26,9 s</w:t>
            </w:r>
          </w:p>
        </w:tc>
        <w:tc>
          <w:tcPr>
            <w:tcW w:w="1132" w:type="dxa"/>
            <w:tcBorders>
              <w:top w:val="single" w:sz="6" w:space="0" w:color="auto"/>
              <w:left w:val="single" w:sz="6" w:space="0" w:color="auto"/>
              <w:bottom w:val="single" w:sz="6" w:space="0" w:color="auto"/>
              <w:right w:val="single" w:sz="6" w:space="0" w:color="auto"/>
            </w:tcBorders>
          </w:tcPr>
          <w:p w14:paraId="13D448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26,9 s</w:t>
            </w:r>
          </w:p>
        </w:tc>
        <w:tc>
          <w:tcPr>
            <w:tcW w:w="1132" w:type="dxa"/>
            <w:tcBorders>
              <w:top w:val="single" w:sz="6" w:space="0" w:color="auto"/>
              <w:left w:val="single" w:sz="6" w:space="0" w:color="auto"/>
              <w:bottom w:val="single" w:sz="6" w:space="0" w:color="auto"/>
              <w:right w:val="single" w:sz="6" w:space="0" w:color="auto"/>
            </w:tcBorders>
          </w:tcPr>
          <w:p w14:paraId="51F9E75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26,9 s</w:t>
            </w:r>
          </w:p>
        </w:tc>
        <w:tc>
          <w:tcPr>
            <w:tcW w:w="1132" w:type="dxa"/>
            <w:tcBorders>
              <w:top w:val="single" w:sz="6" w:space="0" w:color="auto"/>
              <w:left w:val="single" w:sz="6" w:space="0" w:color="auto"/>
              <w:bottom w:val="single" w:sz="6" w:space="0" w:color="auto"/>
              <w:right w:val="single" w:sz="6" w:space="0" w:color="auto"/>
            </w:tcBorders>
          </w:tcPr>
          <w:p w14:paraId="7B2CF30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26,9 s</w:t>
            </w:r>
          </w:p>
        </w:tc>
        <w:tc>
          <w:tcPr>
            <w:tcW w:w="1132" w:type="dxa"/>
            <w:tcBorders>
              <w:top w:val="single" w:sz="6" w:space="0" w:color="auto"/>
              <w:left w:val="single" w:sz="6" w:space="0" w:color="auto"/>
              <w:bottom w:val="single" w:sz="6" w:space="0" w:color="auto"/>
              <w:right w:val="single" w:sz="6" w:space="0" w:color="auto"/>
            </w:tcBorders>
          </w:tcPr>
          <w:p w14:paraId="06737DF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26,9 s</w:t>
            </w:r>
          </w:p>
        </w:tc>
      </w:tr>
      <w:tr w:rsidR="003D4454" w:rsidRPr="00C9671E" w14:paraId="18B89BA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8CAF68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Должина на автопати (километри)</w:t>
            </w:r>
          </w:p>
        </w:tc>
        <w:tc>
          <w:tcPr>
            <w:tcW w:w="752" w:type="dxa"/>
            <w:tcBorders>
              <w:top w:val="single" w:sz="6" w:space="0" w:color="auto"/>
              <w:left w:val="single" w:sz="6" w:space="0" w:color="auto"/>
              <w:bottom w:val="single" w:sz="6" w:space="0" w:color="auto"/>
              <w:right w:val="single" w:sz="6" w:space="0" w:color="auto"/>
            </w:tcBorders>
          </w:tcPr>
          <w:p w14:paraId="6D60179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A76F7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251</w:t>
            </w:r>
          </w:p>
        </w:tc>
        <w:tc>
          <w:tcPr>
            <w:tcW w:w="1132" w:type="dxa"/>
            <w:tcBorders>
              <w:top w:val="single" w:sz="6" w:space="0" w:color="auto"/>
              <w:left w:val="single" w:sz="6" w:space="0" w:color="auto"/>
              <w:bottom w:val="single" w:sz="6" w:space="0" w:color="auto"/>
              <w:right w:val="single" w:sz="6" w:space="0" w:color="auto"/>
            </w:tcBorders>
          </w:tcPr>
          <w:p w14:paraId="60F9CB7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259</w:t>
            </w:r>
          </w:p>
        </w:tc>
        <w:tc>
          <w:tcPr>
            <w:tcW w:w="1132" w:type="dxa"/>
            <w:tcBorders>
              <w:top w:val="single" w:sz="6" w:space="0" w:color="auto"/>
              <w:left w:val="single" w:sz="6" w:space="0" w:color="auto"/>
              <w:bottom w:val="single" w:sz="6" w:space="0" w:color="auto"/>
              <w:right w:val="single" w:sz="6" w:space="0" w:color="auto"/>
            </w:tcBorders>
          </w:tcPr>
          <w:p w14:paraId="6A0073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259</w:t>
            </w:r>
          </w:p>
        </w:tc>
        <w:tc>
          <w:tcPr>
            <w:tcW w:w="1132" w:type="dxa"/>
            <w:tcBorders>
              <w:top w:val="single" w:sz="6" w:space="0" w:color="auto"/>
              <w:left w:val="single" w:sz="6" w:space="0" w:color="auto"/>
              <w:bottom w:val="single" w:sz="6" w:space="0" w:color="auto"/>
              <w:right w:val="single" w:sz="6" w:space="0" w:color="auto"/>
            </w:tcBorders>
          </w:tcPr>
          <w:p w14:paraId="2E4A57C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287</w:t>
            </w:r>
          </w:p>
        </w:tc>
        <w:tc>
          <w:tcPr>
            <w:tcW w:w="1132" w:type="dxa"/>
            <w:tcBorders>
              <w:top w:val="single" w:sz="6" w:space="0" w:color="auto"/>
              <w:left w:val="single" w:sz="6" w:space="0" w:color="auto"/>
              <w:bottom w:val="single" w:sz="6" w:space="0" w:color="auto"/>
              <w:right w:val="single" w:sz="6" w:space="0" w:color="auto"/>
            </w:tcBorders>
          </w:tcPr>
          <w:p w14:paraId="7515F42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335</w:t>
            </w:r>
          </w:p>
        </w:tc>
        <w:tc>
          <w:tcPr>
            <w:tcW w:w="1132" w:type="dxa"/>
            <w:tcBorders>
              <w:top w:val="single" w:sz="6" w:space="0" w:color="auto"/>
              <w:left w:val="single" w:sz="6" w:space="0" w:color="auto"/>
              <w:bottom w:val="single" w:sz="6" w:space="0" w:color="auto"/>
              <w:right w:val="single" w:sz="6" w:space="0" w:color="auto"/>
            </w:tcBorders>
          </w:tcPr>
          <w:p w14:paraId="6645A42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335</w:t>
            </w:r>
          </w:p>
        </w:tc>
      </w:tr>
      <w:tr w:rsidR="003D4454" w:rsidRPr="00C9671E" w14:paraId="198E7F76" w14:textId="77777777" w:rsidTr="00705B41">
        <w:trPr>
          <w:cantSplit/>
          <w:trHeight w:val="223"/>
        </w:trPr>
        <w:tc>
          <w:tcPr>
            <w:tcW w:w="6817" w:type="dxa"/>
            <w:tcBorders>
              <w:top w:val="nil"/>
              <w:left w:val="nil"/>
              <w:bottom w:val="nil"/>
              <w:right w:val="nil"/>
            </w:tcBorders>
          </w:tcPr>
          <w:p w14:paraId="7D393EA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18262BD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0B6DC65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0D5E66D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99B6C1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A8F8E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06C927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03AC46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3B46F029" w14:textId="77777777" w:rsidTr="00705B41">
        <w:trPr>
          <w:cantSplit/>
          <w:trHeight w:val="223"/>
        </w:trPr>
        <w:tc>
          <w:tcPr>
            <w:tcW w:w="6817" w:type="dxa"/>
            <w:tcBorders>
              <w:top w:val="nil"/>
              <w:left w:val="nil"/>
              <w:bottom w:val="nil"/>
              <w:right w:val="nil"/>
            </w:tcBorders>
          </w:tcPr>
          <w:p w14:paraId="0ABCA11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lastRenderedPageBreak/>
              <w:t>Иновации и истражување</w:t>
            </w:r>
          </w:p>
        </w:tc>
        <w:tc>
          <w:tcPr>
            <w:tcW w:w="752" w:type="dxa"/>
            <w:tcBorders>
              <w:top w:val="single" w:sz="6" w:space="0" w:color="auto"/>
              <w:left w:val="single" w:sz="6" w:space="0" w:color="auto"/>
              <w:bottom w:val="single" w:sz="6" w:space="0" w:color="auto"/>
              <w:right w:val="single" w:sz="6" w:space="0" w:color="auto"/>
            </w:tcBorders>
          </w:tcPr>
          <w:p w14:paraId="017BE2C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08B8428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1FDC815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695AE59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5F25F70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4E81C52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6375DA5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7EB0FD0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B782E9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Јавни расходи на образование во однос на БДП (%)</w:t>
            </w:r>
          </w:p>
        </w:tc>
        <w:tc>
          <w:tcPr>
            <w:tcW w:w="752" w:type="dxa"/>
            <w:tcBorders>
              <w:top w:val="single" w:sz="6" w:space="0" w:color="auto"/>
              <w:left w:val="single" w:sz="6" w:space="0" w:color="auto"/>
              <w:bottom w:val="single" w:sz="6" w:space="0" w:color="auto"/>
              <w:right w:val="single" w:sz="6" w:space="0" w:color="auto"/>
            </w:tcBorders>
          </w:tcPr>
          <w:p w14:paraId="3C9FF43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F6936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26464D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07E6B7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CECC33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320AD8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518ACF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6B9F964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6E92D8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*Бруто-домашен расход на истражување и развој, во однос на БДП (%)</w:t>
            </w:r>
          </w:p>
        </w:tc>
        <w:tc>
          <w:tcPr>
            <w:tcW w:w="752" w:type="dxa"/>
            <w:tcBorders>
              <w:top w:val="single" w:sz="6" w:space="0" w:color="auto"/>
              <w:left w:val="single" w:sz="6" w:space="0" w:color="auto"/>
              <w:bottom w:val="single" w:sz="6" w:space="0" w:color="auto"/>
              <w:right w:val="single" w:sz="6" w:space="0" w:color="auto"/>
            </w:tcBorders>
          </w:tcPr>
          <w:p w14:paraId="1A8437F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w:t>
            </w:r>
          </w:p>
        </w:tc>
        <w:tc>
          <w:tcPr>
            <w:tcW w:w="946" w:type="dxa"/>
            <w:tcBorders>
              <w:top w:val="single" w:sz="6" w:space="0" w:color="auto"/>
              <w:left w:val="single" w:sz="6" w:space="0" w:color="auto"/>
              <w:bottom w:val="single" w:sz="6" w:space="0" w:color="auto"/>
              <w:right w:val="single" w:sz="6" w:space="0" w:color="auto"/>
            </w:tcBorders>
          </w:tcPr>
          <w:p w14:paraId="5D62A5E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0,20 sw</w:t>
            </w:r>
          </w:p>
        </w:tc>
        <w:tc>
          <w:tcPr>
            <w:tcW w:w="1132" w:type="dxa"/>
            <w:tcBorders>
              <w:top w:val="single" w:sz="6" w:space="0" w:color="auto"/>
              <w:left w:val="single" w:sz="6" w:space="0" w:color="auto"/>
              <w:bottom w:val="single" w:sz="6" w:space="0" w:color="auto"/>
              <w:right w:val="single" w:sz="6" w:space="0" w:color="auto"/>
            </w:tcBorders>
          </w:tcPr>
          <w:p w14:paraId="2C82DC0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0,44</w:t>
            </w:r>
          </w:p>
        </w:tc>
        <w:tc>
          <w:tcPr>
            <w:tcW w:w="1132" w:type="dxa"/>
            <w:tcBorders>
              <w:top w:val="single" w:sz="6" w:space="0" w:color="auto"/>
              <w:left w:val="single" w:sz="6" w:space="0" w:color="auto"/>
              <w:bottom w:val="single" w:sz="6" w:space="0" w:color="auto"/>
              <w:right w:val="single" w:sz="6" w:space="0" w:color="auto"/>
            </w:tcBorders>
          </w:tcPr>
          <w:p w14:paraId="33405F0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0,35</w:t>
            </w:r>
          </w:p>
        </w:tc>
        <w:tc>
          <w:tcPr>
            <w:tcW w:w="1132" w:type="dxa"/>
            <w:tcBorders>
              <w:top w:val="single" w:sz="6" w:space="0" w:color="auto"/>
              <w:left w:val="single" w:sz="6" w:space="0" w:color="auto"/>
              <w:bottom w:val="single" w:sz="6" w:space="0" w:color="auto"/>
              <w:right w:val="single" w:sz="6" w:space="0" w:color="auto"/>
            </w:tcBorders>
          </w:tcPr>
          <w:p w14:paraId="478A388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0,36</w:t>
            </w:r>
          </w:p>
        </w:tc>
        <w:tc>
          <w:tcPr>
            <w:tcW w:w="1132" w:type="dxa"/>
            <w:tcBorders>
              <w:top w:val="single" w:sz="6" w:space="0" w:color="auto"/>
              <w:left w:val="single" w:sz="6" w:space="0" w:color="auto"/>
              <w:bottom w:val="single" w:sz="6" w:space="0" w:color="auto"/>
              <w:right w:val="single" w:sz="6" w:space="0" w:color="auto"/>
            </w:tcBorders>
          </w:tcPr>
          <w:p w14:paraId="1CA77A9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0,37</w:t>
            </w:r>
          </w:p>
        </w:tc>
        <w:tc>
          <w:tcPr>
            <w:tcW w:w="1132" w:type="dxa"/>
            <w:tcBorders>
              <w:top w:val="single" w:sz="6" w:space="0" w:color="auto"/>
              <w:left w:val="single" w:sz="6" w:space="0" w:color="auto"/>
              <w:bottom w:val="single" w:sz="6" w:space="0" w:color="auto"/>
              <w:right w:val="single" w:sz="6" w:space="0" w:color="auto"/>
            </w:tcBorders>
          </w:tcPr>
          <w:p w14:paraId="6016F41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0,38</w:t>
            </w:r>
          </w:p>
        </w:tc>
      </w:tr>
      <w:tr w:rsidR="003D4454" w:rsidRPr="00C9671E" w14:paraId="0F2B9B5F"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456411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Одобрени средства со буџетот или расходи за истражување и развој (GBAORD), како процент од БДП (%)</w:t>
            </w:r>
          </w:p>
        </w:tc>
        <w:tc>
          <w:tcPr>
            <w:tcW w:w="752" w:type="dxa"/>
            <w:tcBorders>
              <w:top w:val="single" w:sz="6" w:space="0" w:color="auto"/>
              <w:left w:val="single" w:sz="6" w:space="0" w:color="auto"/>
              <w:bottom w:val="single" w:sz="6" w:space="0" w:color="auto"/>
              <w:right w:val="single" w:sz="6" w:space="0" w:color="auto"/>
            </w:tcBorders>
          </w:tcPr>
          <w:p w14:paraId="5C0D15C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D0A6DF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42A107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2CC6C72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0D2EAC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168686D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41EF2A0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76C76FB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6F43CAB"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Процент на домаќинства што имаат пристап до интернет дома (%)</w:t>
            </w:r>
          </w:p>
        </w:tc>
        <w:tc>
          <w:tcPr>
            <w:tcW w:w="752" w:type="dxa"/>
            <w:tcBorders>
              <w:top w:val="single" w:sz="6" w:space="0" w:color="auto"/>
              <w:left w:val="single" w:sz="6" w:space="0" w:color="auto"/>
              <w:bottom w:val="single" w:sz="6" w:space="0" w:color="auto"/>
              <w:right w:val="single" w:sz="6" w:space="0" w:color="auto"/>
            </w:tcBorders>
          </w:tcPr>
          <w:p w14:paraId="32C82598"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356F7E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42,0</w:t>
            </w:r>
          </w:p>
        </w:tc>
        <w:tc>
          <w:tcPr>
            <w:tcW w:w="1132" w:type="dxa"/>
            <w:tcBorders>
              <w:top w:val="single" w:sz="6" w:space="0" w:color="auto"/>
              <w:left w:val="single" w:sz="6" w:space="0" w:color="auto"/>
              <w:bottom w:val="single" w:sz="6" w:space="0" w:color="auto"/>
              <w:right w:val="single" w:sz="6" w:space="0" w:color="auto"/>
            </w:tcBorders>
          </w:tcPr>
          <w:p w14:paraId="7A71684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75,0</w:t>
            </w:r>
          </w:p>
        </w:tc>
        <w:tc>
          <w:tcPr>
            <w:tcW w:w="1132" w:type="dxa"/>
            <w:tcBorders>
              <w:top w:val="single" w:sz="6" w:space="0" w:color="auto"/>
              <w:left w:val="single" w:sz="6" w:space="0" w:color="auto"/>
              <w:bottom w:val="single" w:sz="6" w:space="0" w:color="auto"/>
              <w:right w:val="single" w:sz="6" w:space="0" w:color="auto"/>
            </w:tcBorders>
          </w:tcPr>
          <w:p w14:paraId="6BB971C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74,0</w:t>
            </w:r>
          </w:p>
        </w:tc>
        <w:tc>
          <w:tcPr>
            <w:tcW w:w="1132" w:type="dxa"/>
            <w:tcBorders>
              <w:top w:val="single" w:sz="6" w:space="0" w:color="auto"/>
              <w:left w:val="single" w:sz="6" w:space="0" w:color="auto"/>
              <w:bottom w:val="single" w:sz="6" w:space="0" w:color="auto"/>
              <w:right w:val="single" w:sz="6" w:space="0" w:color="auto"/>
            </w:tcBorders>
          </w:tcPr>
          <w:p w14:paraId="444FF72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79,0</w:t>
            </w:r>
          </w:p>
        </w:tc>
        <w:tc>
          <w:tcPr>
            <w:tcW w:w="1132" w:type="dxa"/>
            <w:tcBorders>
              <w:top w:val="single" w:sz="6" w:space="0" w:color="auto"/>
              <w:left w:val="single" w:sz="6" w:space="0" w:color="auto"/>
              <w:bottom w:val="single" w:sz="6" w:space="0" w:color="auto"/>
              <w:right w:val="single" w:sz="6" w:space="0" w:color="auto"/>
            </w:tcBorders>
          </w:tcPr>
          <w:p w14:paraId="4AC87A3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82,0</w:t>
            </w:r>
          </w:p>
        </w:tc>
        <w:tc>
          <w:tcPr>
            <w:tcW w:w="1132" w:type="dxa"/>
            <w:tcBorders>
              <w:top w:val="single" w:sz="6" w:space="0" w:color="auto"/>
              <w:left w:val="single" w:sz="6" w:space="0" w:color="auto"/>
              <w:bottom w:val="single" w:sz="6" w:space="0" w:color="auto"/>
              <w:right w:val="single" w:sz="6" w:space="0" w:color="auto"/>
            </w:tcBorders>
          </w:tcPr>
          <w:p w14:paraId="08065A6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79,0</w:t>
            </w:r>
          </w:p>
        </w:tc>
      </w:tr>
      <w:tr w:rsidR="003D4454" w:rsidRPr="00C9671E" w14:paraId="5C51D894" w14:textId="77777777" w:rsidTr="00705B41">
        <w:trPr>
          <w:cantSplit/>
          <w:trHeight w:val="223"/>
        </w:trPr>
        <w:tc>
          <w:tcPr>
            <w:tcW w:w="6817" w:type="dxa"/>
            <w:tcBorders>
              <w:top w:val="nil"/>
              <w:left w:val="nil"/>
              <w:bottom w:val="nil"/>
              <w:right w:val="nil"/>
            </w:tcBorders>
          </w:tcPr>
          <w:p w14:paraId="5C14DBA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273C57C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51008EF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D7A590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79B52DB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36A7A1B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7F3DA6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410E4AA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4D37B14A" w14:textId="77777777" w:rsidTr="00705B41">
        <w:trPr>
          <w:cantSplit/>
          <w:trHeight w:val="223"/>
        </w:trPr>
        <w:tc>
          <w:tcPr>
            <w:tcW w:w="6817" w:type="dxa"/>
            <w:tcBorders>
              <w:top w:val="nil"/>
              <w:left w:val="nil"/>
              <w:bottom w:val="nil"/>
              <w:right w:val="nil"/>
            </w:tcBorders>
          </w:tcPr>
          <w:p w14:paraId="4AEE9AA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Животна средина</w:t>
            </w:r>
          </w:p>
        </w:tc>
        <w:tc>
          <w:tcPr>
            <w:tcW w:w="752" w:type="dxa"/>
            <w:tcBorders>
              <w:top w:val="single" w:sz="6" w:space="0" w:color="auto"/>
              <w:left w:val="single" w:sz="6" w:space="0" w:color="auto"/>
              <w:bottom w:val="single" w:sz="6" w:space="0" w:color="auto"/>
              <w:right w:val="single" w:sz="6" w:space="0" w:color="auto"/>
            </w:tcBorders>
          </w:tcPr>
          <w:p w14:paraId="3EAFE04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7C3C7F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37E4EAD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64118D8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106F249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12DBD00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15C8A39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3D7245E4"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C9945E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*Показател на емисии на стакленички гасови, што е еквивалентно на CO</w:t>
            </w:r>
            <w:r w:rsidRPr="00C9671E">
              <w:rPr>
                <w:rFonts w:ascii="Times New Roman" w:hAnsi="Times New Roman" w:cs="Times New Roman"/>
                <w:color w:val="000000"/>
                <w:sz w:val="24"/>
                <w:szCs w:val="24"/>
                <w:vertAlign w:val="subscript"/>
              </w:rPr>
              <w:t>2</w:t>
            </w:r>
            <w:r w:rsidRPr="00C9671E">
              <w:rPr>
                <w:rFonts w:ascii="Times New Roman" w:hAnsi="Times New Roman" w:cs="Times New Roman"/>
                <w:color w:val="000000"/>
                <w:sz w:val="24"/>
                <w:szCs w:val="24"/>
              </w:rPr>
              <w:t xml:space="preserve"> (1990 = 100)</w:t>
            </w:r>
          </w:p>
        </w:tc>
        <w:tc>
          <w:tcPr>
            <w:tcW w:w="752" w:type="dxa"/>
            <w:tcBorders>
              <w:top w:val="single" w:sz="6" w:space="0" w:color="auto"/>
              <w:left w:val="single" w:sz="6" w:space="0" w:color="auto"/>
              <w:bottom w:val="single" w:sz="6" w:space="0" w:color="auto"/>
              <w:right w:val="single" w:sz="6" w:space="0" w:color="auto"/>
            </w:tcBorders>
          </w:tcPr>
          <w:p w14:paraId="4F1B05C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w:t>
            </w:r>
          </w:p>
        </w:tc>
        <w:tc>
          <w:tcPr>
            <w:tcW w:w="946" w:type="dxa"/>
            <w:tcBorders>
              <w:top w:val="single" w:sz="6" w:space="0" w:color="auto"/>
              <w:left w:val="single" w:sz="6" w:space="0" w:color="auto"/>
              <w:bottom w:val="single" w:sz="6" w:space="0" w:color="auto"/>
              <w:right w:val="single" w:sz="6" w:space="0" w:color="auto"/>
            </w:tcBorders>
          </w:tcPr>
          <w:p w14:paraId="5AB9AE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81,8 w</w:t>
            </w:r>
          </w:p>
        </w:tc>
        <w:tc>
          <w:tcPr>
            <w:tcW w:w="1132" w:type="dxa"/>
            <w:tcBorders>
              <w:top w:val="single" w:sz="6" w:space="0" w:color="auto"/>
              <w:left w:val="single" w:sz="6" w:space="0" w:color="auto"/>
              <w:bottom w:val="single" w:sz="6" w:space="0" w:color="auto"/>
              <w:right w:val="single" w:sz="6" w:space="0" w:color="auto"/>
            </w:tcBorders>
          </w:tcPr>
          <w:p w14:paraId="205FFE3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80,1 w</w:t>
            </w:r>
          </w:p>
        </w:tc>
        <w:tc>
          <w:tcPr>
            <w:tcW w:w="1132" w:type="dxa"/>
            <w:tcBorders>
              <w:top w:val="single" w:sz="6" w:space="0" w:color="auto"/>
              <w:left w:val="single" w:sz="6" w:space="0" w:color="auto"/>
              <w:bottom w:val="single" w:sz="6" w:space="0" w:color="auto"/>
              <w:right w:val="single" w:sz="6" w:space="0" w:color="auto"/>
            </w:tcBorders>
          </w:tcPr>
          <w:p w14:paraId="1DA73ED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113,0 w</w:t>
            </w:r>
          </w:p>
        </w:tc>
        <w:tc>
          <w:tcPr>
            <w:tcW w:w="1132" w:type="dxa"/>
            <w:tcBorders>
              <w:top w:val="single" w:sz="6" w:space="0" w:color="auto"/>
              <w:left w:val="single" w:sz="6" w:space="0" w:color="auto"/>
              <w:bottom w:val="single" w:sz="6" w:space="0" w:color="auto"/>
              <w:right w:val="single" w:sz="6" w:space="0" w:color="auto"/>
            </w:tcBorders>
          </w:tcPr>
          <w:p w14:paraId="3422C24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79,5 w</w:t>
            </w:r>
          </w:p>
        </w:tc>
        <w:tc>
          <w:tcPr>
            <w:tcW w:w="1132" w:type="dxa"/>
            <w:tcBorders>
              <w:top w:val="single" w:sz="6" w:space="0" w:color="auto"/>
              <w:left w:val="single" w:sz="6" w:space="0" w:color="auto"/>
              <w:bottom w:val="single" w:sz="6" w:space="0" w:color="auto"/>
              <w:right w:val="single" w:sz="6" w:space="0" w:color="auto"/>
            </w:tcBorders>
          </w:tcPr>
          <w:p w14:paraId="3484078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118,7 w</w:t>
            </w:r>
          </w:p>
        </w:tc>
        <w:tc>
          <w:tcPr>
            <w:tcW w:w="1132" w:type="dxa"/>
            <w:tcBorders>
              <w:top w:val="single" w:sz="6" w:space="0" w:color="auto"/>
              <w:left w:val="single" w:sz="6" w:space="0" w:color="auto"/>
              <w:bottom w:val="single" w:sz="6" w:space="0" w:color="auto"/>
              <w:right w:val="single" w:sz="6" w:space="0" w:color="auto"/>
            </w:tcBorders>
          </w:tcPr>
          <w:p w14:paraId="4821381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4494DB0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3F00CC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Енергетски интензитет на стопанството (kg на еквивалент во нафта на 1.000 евра БДП при константни цени од 2015 година)</w:t>
            </w:r>
          </w:p>
        </w:tc>
        <w:tc>
          <w:tcPr>
            <w:tcW w:w="752" w:type="dxa"/>
            <w:tcBorders>
              <w:top w:val="single" w:sz="6" w:space="0" w:color="auto"/>
              <w:left w:val="single" w:sz="6" w:space="0" w:color="auto"/>
              <w:bottom w:val="single" w:sz="6" w:space="0" w:color="auto"/>
              <w:right w:val="single" w:sz="6" w:space="0" w:color="auto"/>
            </w:tcBorders>
          </w:tcPr>
          <w:p w14:paraId="0B26023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C2E962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362,2</w:t>
            </w:r>
          </w:p>
        </w:tc>
        <w:tc>
          <w:tcPr>
            <w:tcW w:w="1132" w:type="dxa"/>
            <w:tcBorders>
              <w:top w:val="single" w:sz="6" w:space="0" w:color="auto"/>
              <w:left w:val="single" w:sz="6" w:space="0" w:color="auto"/>
              <w:bottom w:val="single" w:sz="6" w:space="0" w:color="auto"/>
              <w:right w:val="single" w:sz="6" w:space="0" w:color="auto"/>
            </w:tcBorders>
          </w:tcPr>
          <w:p w14:paraId="3242F7D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290,0</w:t>
            </w:r>
          </w:p>
        </w:tc>
        <w:tc>
          <w:tcPr>
            <w:tcW w:w="1132" w:type="dxa"/>
            <w:tcBorders>
              <w:top w:val="single" w:sz="6" w:space="0" w:color="auto"/>
              <w:left w:val="single" w:sz="6" w:space="0" w:color="auto"/>
              <w:bottom w:val="single" w:sz="6" w:space="0" w:color="auto"/>
              <w:right w:val="single" w:sz="6" w:space="0" w:color="auto"/>
            </w:tcBorders>
          </w:tcPr>
          <w:p w14:paraId="4E29AF6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293,0</w:t>
            </w:r>
          </w:p>
        </w:tc>
        <w:tc>
          <w:tcPr>
            <w:tcW w:w="1132" w:type="dxa"/>
            <w:tcBorders>
              <w:top w:val="single" w:sz="6" w:space="0" w:color="auto"/>
              <w:left w:val="single" w:sz="6" w:space="0" w:color="auto"/>
              <w:bottom w:val="single" w:sz="6" w:space="0" w:color="auto"/>
              <w:right w:val="single" w:sz="6" w:space="0" w:color="auto"/>
            </w:tcBorders>
          </w:tcPr>
          <w:p w14:paraId="303A7E7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267,1</w:t>
            </w:r>
          </w:p>
        </w:tc>
        <w:tc>
          <w:tcPr>
            <w:tcW w:w="1132" w:type="dxa"/>
            <w:tcBorders>
              <w:top w:val="single" w:sz="6" w:space="0" w:color="auto"/>
              <w:left w:val="single" w:sz="6" w:space="0" w:color="auto"/>
              <w:bottom w:val="single" w:sz="6" w:space="0" w:color="auto"/>
              <w:right w:val="single" w:sz="6" w:space="0" w:color="auto"/>
            </w:tcBorders>
          </w:tcPr>
          <w:p w14:paraId="4F11C3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283,8</w:t>
            </w:r>
          </w:p>
        </w:tc>
        <w:tc>
          <w:tcPr>
            <w:tcW w:w="1132" w:type="dxa"/>
            <w:tcBorders>
              <w:top w:val="single" w:sz="6" w:space="0" w:color="auto"/>
              <w:left w:val="single" w:sz="6" w:space="0" w:color="auto"/>
              <w:bottom w:val="single" w:sz="6" w:space="0" w:color="auto"/>
              <w:right w:val="single" w:sz="6" w:space="0" w:color="auto"/>
            </w:tcBorders>
          </w:tcPr>
          <w:p w14:paraId="778857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274,6</w:t>
            </w:r>
          </w:p>
        </w:tc>
      </w:tr>
      <w:tr w:rsidR="003D4454" w:rsidRPr="00C9671E" w14:paraId="58AB345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1DA3649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xml:space="preserve">Електрична енергија добиена од обновливи извори во однос на бруто потрошувачка на енергија (%) </w:t>
            </w:r>
          </w:p>
        </w:tc>
        <w:tc>
          <w:tcPr>
            <w:tcW w:w="752" w:type="dxa"/>
            <w:tcBorders>
              <w:top w:val="single" w:sz="6" w:space="0" w:color="auto"/>
              <w:left w:val="single" w:sz="6" w:space="0" w:color="auto"/>
              <w:bottom w:val="single" w:sz="6" w:space="0" w:color="auto"/>
              <w:right w:val="single" w:sz="6" w:space="0" w:color="auto"/>
            </w:tcBorders>
          </w:tcPr>
          <w:p w14:paraId="20571F3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956694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15,5</w:t>
            </w:r>
          </w:p>
        </w:tc>
        <w:tc>
          <w:tcPr>
            <w:tcW w:w="1132" w:type="dxa"/>
            <w:tcBorders>
              <w:top w:val="single" w:sz="6" w:space="0" w:color="auto"/>
              <w:left w:val="single" w:sz="6" w:space="0" w:color="auto"/>
              <w:bottom w:val="single" w:sz="6" w:space="0" w:color="auto"/>
              <w:right w:val="single" w:sz="6" w:space="0" w:color="auto"/>
            </w:tcBorders>
          </w:tcPr>
          <w:p w14:paraId="1312E9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24,1</w:t>
            </w:r>
          </w:p>
        </w:tc>
        <w:tc>
          <w:tcPr>
            <w:tcW w:w="1132" w:type="dxa"/>
            <w:tcBorders>
              <w:top w:val="single" w:sz="6" w:space="0" w:color="auto"/>
              <w:left w:val="single" w:sz="6" w:space="0" w:color="auto"/>
              <w:bottom w:val="single" w:sz="6" w:space="0" w:color="auto"/>
              <w:right w:val="single" w:sz="6" w:space="0" w:color="auto"/>
            </w:tcBorders>
          </w:tcPr>
          <w:p w14:paraId="57851F0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24,8</w:t>
            </w:r>
          </w:p>
        </w:tc>
        <w:tc>
          <w:tcPr>
            <w:tcW w:w="1132" w:type="dxa"/>
            <w:tcBorders>
              <w:top w:val="single" w:sz="6" w:space="0" w:color="auto"/>
              <w:left w:val="single" w:sz="6" w:space="0" w:color="auto"/>
              <w:bottom w:val="single" w:sz="6" w:space="0" w:color="auto"/>
              <w:right w:val="single" w:sz="6" w:space="0" w:color="auto"/>
            </w:tcBorders>
          </w:tcPr>
          <w:p w14:paraId="29050DB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24,8</w:t>
            </w:r>
          </w:p>
        </w:tc>
        <w:tc>
          <w:tcPr>
            <w:tcW w:w="1132" w:type="dxa"/>
            <w:tcBorders>
              <w:top w:val="single" w:sz="6" w:space="0" w:color="auto"/>
              <w:left w:val="single" w:sz="6" w:space="0" w:color="auto"/>
              <w:bottom w:val="single" w:sz="6" w:space="0" w:color="auto"/>
              <w:right w:val="single" w:sz="6" w:space="0" w:color="auto"/>
            </w:tcBorders>
          </w:tcPr>
          <w:p w14:paraId="41EAFC3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23,8</w:t>
            </w:r>
          </w:p>
        </w:tc>
        <w:tc>
          <w:tcPr>
            <w:tcW w:w="1132" w:type="dxa"/>
            <w:tcBorders>
              <w:top w:val="single" w:sz="6" w:space="0" w:color="auto"/>
              <w:left w:val="single" w:sz="6" w:space="0" w:color="auto"/>
              <w:bottom w:val="single" w:sz="6" w:space="0" w:color="auto"/>
              <w:right w:val="single" w:sz="6" w:space="0" w:color="auto"/>
            </w:tcBorders>
          </w:tcPr>
          <w:p w14:paraId="6EDABDA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23,5</w:t>
            </w:r>
          </w:p>
        </w:tc>
      </w:tr>
      <w:tr w:rsidR="003D4454" w:rsidRPr="00C9671E" w14:paraId="099D7EA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B03EB1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Удел на патиштата во внатрешниот товарен транспорт (врз основа на тон - km) (%)</w:t>
            </w:r>
          </w:p>
        </w:tc>
        <w:tc>
          <w:tcPr>
            <w:tcW w:w="752" w:type="dxa"/>
            <w:tcBorders>
              <w:top w:val="single" w:sz="6" w:space="0" w:color="auto"/>
              <w:left w:val="single" w:sz="6" w:space="0" w:color="auto"/>
              <w:bottom w:val="single" w:sz="6" w:space="0" w:color="auto"/>
              <w:right w:val="single" w:sz="6" w:space="0" w:color="auto"/>
            </w:tcBorders>
          </w:tcPr>
          <w:p w14:paraId="205F748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906335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89,0 w</w:t>
            </w:r>
          </w:p>
        </w:tc>
        <w:tc>
          <w:tcPr>
            <w:tcW w:w="1132" w:type="dxa"/>
            <w:tcBorders>
              <w:top w:val="single" w:sz="6" w:space="0" w:color="auto"/>
              <w:left w:val="single" w:sz="6" w:space="0" w:color="auto"/>
              <w:bottom w:val="single" w:sz="6" w:space="0" w:color="auto"/>
              <w:right w:val="single" w:sz="6" w:space="0" w:color="auto"/>
            </w:tcBorders>
          </w:tcPr>
          <w:p w14:paraId="4DEC515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96,9 w</w:t>
            </w:r>
          </w:p>
        </w:tc>
        <w:tc>
          <w:tcPr>
            <w:tcW w:w="1132" w:type="dxa"/>
            <w:tcBorders>
              <w:top w:val="single" w:sz="6" w:space="0" w:color="auto"/>
              <w:left w:val="single" w:sz="6" w:space="0" w:color="auto"/>
              <w:bottom w:val="single" w:sz="6" w:space="0" w:color="auto"/>
              <w:right w:val="single" w:sz="6" w:space="0" w:color="auto"/>
            </w:tcBorders>
          </w:tcPr>
          <w:p w14:paraId="7DF9746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96,4 w</w:t>
            </w:r>
          </w:p>
        </w:tc>
        <w:tc>
          <w:tcPr>
            <w:tcW w:w="1132" w:type="dxa"/>
            <w:tcBorders>
              <w:top w:val="single" w:sz="6" w:space="0" w:color="auto"/>
              <w:left w:val="single" w:sz="6" w:space="0" w:color="auto"/>
              <w:bottom w:val="single" w:sz="6" w:space="0" w:color="auto"/>
              <w:right w:val="single" w:sz="6" w:space="0" w:color="auto"/>
            </w:tcBorders>
          </w:tcPr>
          <w:p w14:paraId="65F3B90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97,2 w</w:t>
            </w:r>
          </w:p>
        </w:tc>
        <w:tc>
          <w:tcPr>
            <w:tcW w:w="1132" w:type="dxa"/>
            <w:tcBorders>
              <w:top w:val="single" w:sz="6" w:space="0" w:color="auto"/>
              <w:left w:val="single" w:sz="6" w:space="0" w:color="auto"/>
              <w:bottom w:val="single" w:sz="6" w:space="0" w:color="auto"/>
              <w:right w:val="single" w:sz="6" w:space="0" w:color="auto"/>
            </w:tcBorders>
          </w:tcPr>
          <w:p w14:paraId="520D6C0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96,7 w</w:t>
            </w:r>
          </w:p>
        </w:tc>
        <w:tc>
          <w:tcPr>
            <w:tcW w:w="1132" w:type="dxa"/>
            <w:tcBorders>
              <w:top w:val="single" w:sz="6" w:space="0" w:color="auto"/>
              <w:left w:val="single" w:sz="6" w:space="0" w:color="auto"/>
              <w:bottom w:val="single" w:sz="6" w:space="0" w:color="auto"/>
              <w:right w:val="single" w:sz="6" w:space="0" w:color="auto"/>
            </w:tcBorders>
          </w:tcPr>
          <w:p w14:paraId="67F6FEE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96,9 w</w:t>
            </w:r>
          </w:p>
        </w:tc>
      </w:tr>
      <w:tr w:rsidR="003D4454" w:rsidRPr="00C9671E" w14:paraId="30ADAA8B" w14:textId="77777777" w:rsidTr="00705B41">
        <w:trPr>
          <w:cantSplit/>
          <w:trHeight w:val="223"/>
        </w:trPr>
        <w:tc>
          <w:tcPr>
            <w:tcW w:w="6817" w:type="dxa"/>
            <w:tcBorders>
              <w:top w:val="nil"/>
              <w:left w:val="nil"/>
              <w:bottom w:val="nil"/>
              <w:right w:val="nil"/>
            </w:tcBorders>
          </w:tcPr>
          <w:p w14:paraId="7A113A0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01EC7C4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6867B5B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DB3CB4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5898B4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8B0F6A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7F2AED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242B6AD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7A9934EF" w14:textId="77777777" w:rsidTr="00705B41">
        <w:trPr>
          <w:cantSplit/>
          <w:trHeight w:val="223"/>
        </w:trPr>
        <w:tc>
          <w:tcPr>
            <w:tcW w:w="6817" w:type="dxa"/>
            <w:tcBorders>
              <w:top w:val="nil"/>
              <w:left w:val="nil"/>
              <w:bottom w:val="nil"/>
              <w:right w:val="nil"/>
            </w:tcBorders>
          </w:tcPr>
          <w:p w14:paraId="11746F7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Енергија</w:t>
            </w:r>
          </w:p>
        </w:tc>
        <w:tc>
          <w:tcPr>
            <w:tcW w:w="752" w:type="dxa"/>
            <w:tcBorders>
              <w:top w:val="single" w:sz="6" w:space="0" w:color="auto"/>
              <w:left w:val="single" w:sz="6" w:space="0" w:color="auto"/>
              <w:bottom w:val="single" w:sz="6" w:space="0" w:color="auto"/>
              <w:right w:val="single" w:sz="6" w:space="0" w:color="auto"/>
            </w:tcBorders>
          </w:tcPr>
          <w:p w14:paraId="3AE3E6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540D47B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1C84DAD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2FCC867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544FF9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1B2CDEC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236BD36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7E32C41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290A8F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Примарно производство на сите енергетски производи (во илјади тони енергија (TOE))</w:t>
            </w:r>
          </w:p>
        </w:tc>
        <w:tc>
          <w:tcPr>
            <w:tcW w:w="752" w:type="dxa"/>
            <w:tcBorders>
              <w:top w:val="single" w:sz="6" w:space="0" w:color="auto"/>
              <w:left w:val="single" w:sz="6" w:space="0" w:color="auto"/>
              <w:bottom w:val="single" w:sz="6" w:space="0" w:color="auto"/>
              <w:right w:val="single" w:sz="6" w:space="0" w:color="auto"/>
            </w:tcBorders>
          </w:tcPr>
          <w:p w14:paraId="62AED42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680F01B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608</w:t>
            </w:r>
          </w:p>
        </w:tc>
        <w:tc>
          <w:tcPr>
            <w:tcW w:w="1132" w:type="dxa"/>
            <w:tcBorders>
              <w:top w:val="single" w:sz="6" w:space="0" w:color="auto"/>
              <w:left w:val="single" w:sz="6" w:space="0" w:color="auto"/>
              <w:bottom w:val="single" w:sz="6" w:space="0" w:color="auto"/>
              <w:right w:val="single" w:sz="6" w:space="0" w:color="auto"/>
            </w:tcBorders>
          </w:tcPr>
          <w:p w14:paraId="22C19FE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121</w:t>
            </w:r>
          </w:p>
        </w:tc>
        <w:tc>
          <w:tcPr>
            <w:tcW w:w="1132" w:type="dxa"/>
            <w:tcBorders>
              <w:top w:val="single" w:sz="6" w:space="0" w:color="auto"/>
              <w:left w:val="single" w:sz="6" w:space="0" w:color="auto"/>
              <w:bottom w:val="single" w:sz="6" w:space="0" w:color="auto"/>
              <w:right w:val="single" w:sz="6" w:space="0" w:color="auto"/>
            </w:tcBorders>
          </w:tcPr>
          <w:p w14:paraId="791F186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166</w:t>
            </w:r>
          </w:p>
        </w:tc>
        <w:tc>
          <w:tcPr>
            <w:tcW w:w="1132" w:type="dxa"/>
            <w:tcBorders>
              <w:top w:val="single" w:sz="6" w:space="0" w:color="auto"/>
              <w:left w:val="single" w:sz="6" w:space="0" w:color="auto"/>
              <w:bottom w:val="single" w:sz="6" w:space="0" w:color="auto"/>
              <w:right w:val="single" w:sz="6" w:space="0" w:color="auto"/>
            </w:tcBorders>
          </w:tcPr>
          <w:p w14:paraId="38F84B4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148</w:t>
            </w:r>
          </w:p>
        </w:tc>
        <w:tc>
          <w:tcPr>
            <w:tcW w:w="1132" w:type="dxa"/>
            <w:tcBorders>
              <w:top w:val="single" w:sz="6" w:space="0" w:color="auto"/>
              <w:left w:val="single" w:sz="6" w:space="0" w:color="auto"/>
              <w:bottom w:val="single" w:sz="6" w:space="0" w:color="auto"/>
              <w:right w:val="single" w:sz="6" w:space="0" w:color="auto"/>
            </w:tcBorders>
          </w:tcPr>
          <w:p w14:paraId="286D12F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160</w:t>
            </w:r>
          </w:p>
        </w:tc>
        <w:tc>
          <w:tcPr>
            <w:tcW w:w="1132" w:type="dxa"/>
            <w:tcBorders>
              <w:top w:val="single" w:sz="6" w:space="0" w:color="auto"/>
              <w:left w:val="single" w:sz="6" w:space="0" w:color="auto"/>
              <w:bottom w:val="single" w:sz="6" w:space="0" w:color="auto"/>
              <w:right w:val="single" w:sz="6" w:space="0" w:color="auto"/>
            </w:tcBorders>
          </w:tcPr>
          <w:p w14:paraId="7B7CCF8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996</w:t>
            </w:r>
          </w:p>
        </w:tc>
      </w:tr>
      <w:tr w:rsidR="003D4454" w:rsidRPr="00C9671E" w14:paraId="159B3D2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C9A646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Примарно производство на мазут (во илјади TOE)</w:t>
            </w:r>
          </w:p>
        </w:tc>
        <w:tc>
          <w:tcPr>
            <w:tcW w:w="752" w:type="dxa"/>
            <w:tcBorders>
              <w:top w:val="single" w:sz="6" w:space="0" w:color="auto"/>
              <w:left w:val="single" w:sz="6" w:space="0" w:color="auto"/>
              <w:bottom w:val="single" w:sz="6" w:space="0" w:color="auto"/>
              <w:right w:val="single" w:sz="6" w:space="0" w:color="auto"/>
            </w:tcBorders>
          </w:tcPr>
          <w:p w14:paraId="4A0B85F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71FED0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5ED55FF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3ACF5D9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404597E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48E09DE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6C15A65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r>
      <w:tr w:rsidR="003D4454" w:rsidRPr="00C9671E" w14:paraId="601E299C"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F851FF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Примарно производство на цврсти горива (во илјади TOE)</w:t>
            </w:r>
          </w:p>
        </w:tc>
        <w:tc>
          <w:tcPr>
            <w:tcW w:w="752" w:type="dxa"/>
            <w:tcBorders>
              <w:top w:val="single" w:sz="6" w:space="0" w:color="auto"/>
              <w:left w:val="single" w:sz="6" w:space="0" w:color="auto"/>
              <w:bottom w:val="single" w:sz="6" w:space="0" w:color="auto"/>
              <w:right w:val="single" w:sz="6" w:space="0" w:color="auto"/>
            </w:tcBorders>
          </w:tcPr>
          <w:p w14:paraId="3128F03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A938C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1 293</w:t>
            </w:r>
          </w:p>
        </w:tc>
        <w:tc>
          <w:tcPr>
            <w:tcW w:w="1132" w:type="dxa"/>
            <w:tcBorders>
              <w:top w:val="single" w:sz="6" w:space="0" w:color="auto"/>
              <w:left w:val="single" w:sz="6" w:space="0" w:color="auto"/>
              <w:bottom w:val="single" w:sz="6" w:space="0" w:color="auto"/>
              <w:right w:val="single" w:sz="6" w:space="0" w:color="auto"/>
            </w:tcBorders>
          </w:tcPr>
          <w:p w14:paraId="5981D84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745</w:t>
            </w:r>
          </w:p>
        </w:tc>
        <w:tc>
          <w:tcPr>
            <w:tcW w:w="1132" w:type="dxa"/>
            <w:tcBorders>
              <w:top w:val="single" w:sz="6" w:space="0" w:color="auto"/>
              <w:left w:val="single" w:sz="6" w:space="0" w:color="auto"/>
              <w:bottom w:val="single" w:sz="6" w:space="0" w:color="auto"/>
              <w:right w:val="single" w:sz="6" w:space="0" w:color="auto"/>
            </w:tcBorders>
          </w:tcPr>
          <w:p w14:paraId="6552E4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849</w:t>
            </w:r>
          </w:p>
        </w:tc>
        <w:tc>
          <w:tcPr>
            <w:tcW w:w="1132" w:type="dxa"/>
            <w:tcBorders>
              <w:top w:val="single" w:sz="6" w:space="0" w:color="auto"/>
              <w:left w:val="single" w:sz="6" w:space="0" w:color="auto"/>
              <w:bottom w:val="single" w:sz="6" w:space="0" w:color="auto"/>
              <w:right w:val="single" w:sz="6" w:space="0" w:color="auto"/>
            </w:tcBorders>
          </w:tcPr>
          <w:p w14:paraId="380577C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800</w:t>
            </w:r>
          </w:p>
        </w:tc>
        <w:tc>
          <w:tcPr>
            <w:tcW w:w="1132" w:type="dxa"/>
            <w:tcBorders>
              <w:top w:val="single" w:sz="6" w:space="0" w:color="auto"/>
              <w:left w:val="single" w:sz="6" w:space="0" w:color="auto"/>
              <w:bottom w:val="single" w:sz="6" w:space="0" w:color="auto"/>
              <w:right w:val="single" w:sz="6" w:space="0" w:color="auto"/>
            </w:tcBorders>
          </w:tcPr>
          <w:p w14:paraId="44D138A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860</w:t>
            </w:r>
          </w:p>
        </w:tc>
        <w:tc>
          <w:tcPr>
            <w:tcW w:w="1132" w:type="dxa"/>
            <w:tcBorders>
              <w:top w:val="single" w:sz="6" w:space="0" w:color="auto"/>
              <w:left w:val="single" w:sz="6" w:space="0" w:color="auto"/>
              <w:bottom w:val="single" w:sz="6" w:space="0" w:color="auto"/>
              <w:right w:val="single" w:sz="6" w:space="0" w:color="auto"/>
            </w:tcBorders>
          </w:tcPr>
          <w:p w14:paraId="2977485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684</w:t>
            </w:r>
          </w:p>
        </w:tc>
      </w:tr>
      <w:tr w:rsidR="003D4454" w:rsidRPr="00C9671E" w14:paraId="0EA7D26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002F2BE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Примарно производство на гас (во илјади TOE)</w:t>
            </w:r>
          </w:p>
        </w:tc>
        <w:tc>
          <w:tcPr>
            <w:tcW w:w="752" w:type="dxa"/>
            <w:tcBorders>
              <w:top w:val="single" w:sz="6" w:space="0" w:color="auto"/>
              <w:left w:val="single" w:sz="6" w:space="0" w:color="auto"/>
              <w:bottom w:val="single" w:sz="6" w:space="0" w:color="auto"/>
              <w:right w:val="single" w:sz="6" w:space="0" w:color="auto"/>
            </w:tcBorders>
          </w:tcPr>
          <w:p w14:paraId="2CB300E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6A3741B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64DFF10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7E2D74B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30E2DFD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0AB28C8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c>
          <w:tcPr>
            <w:tcW w:w="1132" w:type="dxa"/>
            <w:tcBorders>
              <w:top w:val="single" w:sz="6" w:space="0" w:color="auto"/>
              <w:left w:val="single" w:sz="6" w:space="0" w:color="auto"/>
              <w:bottom w:val="single" w:sz="6" w:space="0" w:color="auto"/>
              <w:right w:val="single" w:sz="6" w:space="0" w:color="auto"/>
            </w:tcBorders>
          </w:tcPr>
          <w:p w14:paraId="7EC60B2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w:t>
            </w:r>
          </w:p>
        </w:tc>
      </w:tr>
      <w:tr w:rsidR="003D4454" w:rsidRPr="00C9671E" w14:paraId="2EB9DCB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73EB80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color w:val="000000"/>
                <w:sz w:val="24"/>
                <w:szCs w:val="24"/>
              </w:rPr>
            </w:pPr>
            <w:r w:rsidRPr="00C9671E">
              <w:rPr>
                <w:rFonts w:ascii="Times New Roman" w:hAnsi="Times New Roman" w:cs="Times New Roman"/>
                <w:color w:val="000000"/>
                <w:sz w:val="24"/>
                <w:szCs w:val="24"/>
              </w:rPr>
              <w:t>Нето-увоз на сите енергетски производи (во илјади TOE)</w:t>
            </w:r>
          </w:p>
        </w:tc>
        <w:tc>
          <w:tcPr>
            <w:tcW w:w="752" w:type="dxa"/>
            <w:tcBorders>
              <w:top w:val="single" w:sz="6" w:space="0" w:color="auto"/>
              <w:left w:val="single" w:sz="6" w:space="0" w:color="auto"/>
              <w:bottom w:val="single" w:sz="6" w:space="0" w:color="auto"/>
              <w:right w:val="single" w:sz="6" w:space="0" w:color="auto"/>
            </w:tcBorders>
          </w:tcPr>
          <w:p w14:paraId="1C26570F"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5E6999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274 s</w:t>
            </w:r>
          </w:p>
        </w:tc>
        <w:tc>
          <w:tcPr>
            <w:tcW w:w="1132" w:type="dxa"/>
            <w:tcBorders>
              <w:top w:val="single" w:sz="6" w:space="0" w:color="auto"/>
              <w:left w:val="single" w:sz="6" w:space="0" w:color="auto"/>
              <w:bottom w:val="single" w:sz="6" w:space="0" w:color="auto"/>
              <w:right w:val="single" w:sz="6" w:space="0" w:color="auto"/>
            </w:tcBorders>
          </w:tcPr>
          <w:p w14:paraId="7A9FFA9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590 s</w:t>
            </w:r>
          </w:p>
        </w:tc>
        <w:tc>
          <w:tcPr>
            <w:tcW w:w="1132" w:type="dxa"/>
            <w:tcBorders>
              <w:top w:val="single" w:sz="6" w:space="0" w:color="auto"/>
              <w:left w:val="single" w:sz="6" w:space="0" w:color="auto"/>
              <w:bottom w:val="single" w:sz="6" w:space="0" w:color="auto"/>
              <w:right w:val="single" w:sz="6" w:space="0" w:color="auto"/>
            </w:tcBorders>
          </w:tcPr>
          <w:p w14:paraId="665D7BE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553 s</w:t>
            </w:r>
          </w:p>
        </w:tc>
        <w:tc>
          <w:tcPr>
            <w:tcW w:w="1132" w:type="dxa"/>
            <w:tcBorders>
              <w:top w:val="single" w:sz="6" w:space="0" w:color="auto"/>
              <w:left w:val="single" w:sz="6" w:space="0" w:color="auto"/>
              <w:bottom w:val="single" w:sz="6" w:space="0" w:color="auto"/>
              <w:right w:val="single" w:sz="6" w:space="0" w:color="auto"/>
            </w:tcBorders>
          </w:tcPr>
          <w:p w14:paraId="2B6708F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513 s</w:t>
            </w:r>
          </w:p>
        </w:tc>
        <w:tc>
          <w:tcPr>
            <w:tcW w:w="1132" w:type="dxa"/>
            <w:tcBorders>
              <w:top w:val="single" w:sz="6" w:space="0" w:color="auto"/>
              <w:left w:val="single" w:sz="6" w:space="0" w:color="auto"/>
              <w:bottom w:val="single" w:sz="6" w:space="0" w:color="auto"/>
              <w:right w:val="single" w:sz="6" w:space="0" w:color="auto"/>
            </w:tcBorders>
          </w:tcPr>
          <w:p w14:paraId="2ACEA59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664 s</w:t>
            </w:r>
          </w:p>
        </w:tc>
        <w:tc>
          <w:tcPr>
            <w:tcW w:w="1132" w:type="dxa"/>
            <w:tcBorders>
              <w:top w:val="single" w:sz="6" w:space="0" w:color="auto"/>
              <w:left w:val="single" w:sz="6" w:space="0" w:color="auto"/>
              <w:bottom w:val="single" w:sz="6" w:space="0" w:color="auto"/>
              <w:right w:val="single" w:sz="6" w:space="0" w:color="auto"/>
            </w:tcBorders>
          </w:tcPr>
          <w:p w14:paraId="54B494B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645 s</w:t>
            </w:r>
          </w:p>
        </w:tc>
      </w:tr>
      <w:tr w:rsidR="003D4454" w:rsidRPr="00C9671E" w14:paraId="1B86F165"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B542C3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Бруто-потрошувачка на енергија во земјата (во илјади TOE)</w:t>
            </w:r>
          </w:p>
        </w:tc>
        <w:tc>
          <w:tcPr>
            <w:tcW w:w="752" w:type="dxa"/>
            <w:tcBorders>
              <w:top w:val="single" w:sz="6" w:space="0" w:color="auto"/>
              <w:left w:val="single" w:sz="6" w:space="0" w:color="auto"/>
              <w:bottom w:val="single" w:sz="6" w:space="0" w:color="auto"/>
              <w:right w:val="single" w:sz="6" w:space="0" w:color="auto"/>
            </w:tcBorders>
          </w:tcPr>
          <w:p w14:paraId="573149D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18EAB3B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817</w:t>
            </w:r>
          </w:p>
        </w:tc>
        <w:tc>
          <w:tcPr>
            <w:tcW w:w="1132" w:type="dxa"/>
            <w:tcBorders>
              <w:top w:val="single" w:sz="6" w:space="0" w:color="auto"/>
              <w:left w:val="single" w:sz="6" w:space="0" w:color="auto"/>
              <w:bottom w:val="single" w:sz="6" w:space="0" w:color="auto"/>
              <w:right w:val="single" w:sz="6" w:space="0" w:color="auto"/>
            </w:tcBorders>
          </w:tcPr>
          <w:p w14:paraId="7EFD61E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706</w:t>
            </w:r>
          </w:p>
        </w:tc>
        <w:tc>
          <w:tcPr>
            <w:tcW w:w="1132" w:type="dxa"/>
            <w:tcBorders>
              <w:top w:val="single" w:sz="6" w:space="0" w:color="auto"/>
              <w:left w:val="single" w:sz="6" w:space="0" w:color="auto"/>
              <w:bottom w:val="single" w:sz="6" w:space="0" w:color="auto"/>
              <w:right w:val="single" w:sz="6" w:space="0" w:color="auto"/>
            </w:tcBorders>
          </w:tcPr>
          <w:p w14:paraId="59A290E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763</w:t>
            </w:r>
          </w:p>
        </w:tc>
        <w:tc>
          <w:tcPr>
            <w:tcW w:w="1132" w:type="dxa"/>
            <w:tcBorders>
              <w:top w:val="single" w:sz="6" w:space="0" w:color="auto"/>
              <w:left w:val="single" w:sz="6" w:space="0" w:color="auto"/>
              <w:bottom w:val="single" w:sz="6" w:space="0" w:color="auto"/>
              <w:right w:val="single" w:sz="6" w:space="0" w:color="auto"/>
            </w:tcBorders>
          </w:tcPr>
          <w:p w14:paraId="4C9D8C4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592</w:t>
            </w:r>
          </w:p>
        </w:tc>
        <w:tc>
          <w:tcPr>
            <w:tcW w:w="1132" w:type="dxa"/>
            <w:tcBorders>
              <w:top w:val="single" w:sz="6" w:space="0" w:color="auto"/>
              <w:left w:val="single" w:sz="6" w:space="0" w:color="auto"/>
              <w:bottom w:val="single" w:sz="6" w:space="0" w:color="auto"/>
              <w:right w:val="single" w:sz="6" w:space="0" w:color="auto"/>
            </w:tcBorders>
          </w:tcPr>
          <w:p w14:paraId="531AD5D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862</w:t>
            </w:r>
          </w:p>
        </w:tc>
        <w:tc>
          <w:tcPr>
            <w:tcW w:w="1132" w:type="dxa"/>
            <w:tcBorders>
              <w:top w:val="single" w:sz="6" w:space="0" w:color="auto"/>
              <w:left w:val="single" w:sz="6" w:space="0" w:color="auto"/>
              <w:bottom w:val="single" w:sz="6" w:space="0" w:color="auto"/>
              <w:right w:val="single" w:sz="6" w:space="0" w:color="auto"/>
            </w:tcBorders>
          </w:tcPr>
          <w:p w14:paraId="478A310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599</w:t>
            </w:r>
          </w:p>
        </w:tc>
      </w:tr>
      <w:tr w:rsidR="003D4454" w:rsidRPr="00C9671E" w14:paraId="2D442FA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2E7771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Бруто-производство на електрична енергија (GWh)</w:t>
            </w:r>
          </w:p>
        </w:tc>
        <w:tc>
          <w:tcPr>
            <w:tcW w:w="752" w:type="dxa"/>
            <w:tcBorders>
              <w:top w:val="single" w:sz="6" w:space="0" w:color="auto"/>
              <w:left w:val="single" w:sz="6" w:space="0" w:color="auto"/>
              <w:bottom w:val="single" w:sz="6" w:space="0" w:color="auto"/>
              <w:right w:val="single" w:sz="6" w:space="0" w:color="auto"/>
            </w:tcBorders>
          </w:tcPr>
          <w:p w14:paraId="24D0D7E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AF72F8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828</w:t>
            </w:r>
          </w:p>
        </w:tc>
        <w:tc>
          <w:tcPr>
            <w:tcW w:w="1132" w:type="dxa"/>
            <w:tcBorders>
              <w:top w:val="single" w:sz="6" w:space="0" w:color="auto"/>
              <w:left w:val="single" w:sz="6" w:space="0" w:color="auto"/>
              <w:bottom w:val="single" w:sz="6" w:space="0" w:color="auto"/>
              <w:right w:val="single" w:sz="6" w:space="0" w:color="auto"/>
            </w:tcBorders>
          </w:tcPr>
          <w:p w14:paraId="77E8195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630</w:t>
            </w:r>
          </w:p>
        </w:tc>
        <w:tc>
          <w:tcPr>
            <w:tcW w:w="1132" w:type="dxa"/>
            <w:tcBorders>
              <w:top w:val="single" w:sz="6" w:space="0" w:color="auto"/>
              <w:left w:val="single" w:sz="6" w:space="0" w:color="auto"/>
              <w:bottom w:val="single" w:sz="6" w:space="0" w:color="auto"/>
              <w:right w:val="single" w:sz="6" w:space="0" w:color="auto"/>
            </w:tcBorders>
          </w:tcPr>
          <w:p w14:paraId="1E225A1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600</w:t>
            </w:r>
          </w:p>
        </w:tc>
        <w:tc>
          <w:tcPr>
            <w:tcW w:w="1132" w:type="dxa"/>
            <w:tcBorders>
              <w:top w:val="single" w:sz="6" w:space="0" w:color="auto"/>
              <w:left w:val="single" w:sz="6" w:space="0" w:color="auto"/>
              <w:bottom w:val="single" w:sz="6" w:space="0" w:color="auto"/>
              <w:right w:val="single" w:sz="6" w:space="0" w:color="auto"/>
            </w:tcBorders>
          </w:tcPr>
          <w:p w14:paraId="26E79CB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607</w:t>
            </w:r>
          </w:p>
        </w:tc>
        <w:tc>
          <w:tcPr>
            <w:tcW w:w="1132" w:type="dxa"/>
            <w:tcBorders>
              <w:top w:val="single" w:sz="6" w:space="0" w:color="auto"/>
              <w:left w:val="single" w:sz="6" w:space="0" w:color="auto"/>
              <w:bottom w:val="single" w:sz="6" w:space="0" w:color="auto"/>
              <w:right w:val="single" w:sz="6" w:space="0" w:color="auto"/>
            </w:tcBorders>
          </w:tcPr>
          <w:p w14:paraId="1E75042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870</w:t>
            </w:r>
          </w:p>
        </w:tc>
        <w:tc>
          <w:tcPr>
            <w:tcW w:w="1132" w:type="dxa"/>
            <w:tcBorders>
              <w:top w:val="single" w:sz="6" w:space="0" w:color="auto"/>
              <w:left w:val="single" w:sz="6" w:space="0" w:color="auto"/>
              <w:bottom w:val="single" w:sz="6" w:space="0" w:color="auto"/>
              <w:right w:val="single" w:sz="6" w:space="0" w:color="auto"/>
            </w:tcBorders>
          </w:tcPr>
          <w:p w14:paraId="0A2E4CC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r w:rsidRPr="00C9671E">
              <w:rPr>
                <w:rFonts w:ascii="Times New Roman" w:hAnsi="Times New Roman" w:cs="Times New Roman"/>
                <w:color w:val="000000"/>
                <w:sz w:val="24"/>
                <w:szCs w:val="24"/>
                <w:lang w:val="en-GB"/>
              </w:rPr>
              <w:t>.</w:t>
            </w:r>
            <w:r w:rsidRPr="00C9671E">
              <w:rPr>
                <w:rFonts w:ascii="Times New Roman" w:hAnsi="Times New Roman" w:cs="Times New Roman"/>
                <w:color w:val="000000"/>
                <w:sz w:val="24"/>
                <w:szCs w:val="24"/>
              </w:rPr>
              <w:t>346</w:t>
            </w:r>
          </w:p>
        </w:tc>
      </w:tr>
      <w:tr w:rsidR="003D4454" w:rsidRPr="00C9671E" w14:paraId="4A806DB0" w14:textId="77777777" w:rsidTr="00705B41">
        <w:trPr>
          <w:cantSplit/>
          <w:trHeight w:val="223"/>
        </w:trPr>
        <w:tc>
          <w:tcPr>
            <w:tcW w:w="6817" w:type="dxa"/>
            <w:tcBorders>
              <w:top w:val="nil"/>
              <w:left w:val="nil"/>
              <w:bottom w:val="nil"/>
              <w:right w:val="nil"/>
            </w:tcBorders>
          </w:tcPr>
          <w:p w14:paraId="2BE41C5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752" w:type="dxa"/>
            <w:tcBorders>
              <w:top w:val="nil"/>
              <w:left w:val="nil"/>
              <w:bottom w:val="nil"/>
              <w:right w:val="nil"/>
            </w:tcBorders>
          </w:tcPr>
          <w:p w14:paraId="691F075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nil"/>
              <w:left w:val="nil"/>
              <w:bottom w:val="nil"/>
              <w:right w:val="nil"/>
            </w:tcBorders>
          </w:tcPr>
          <w:p w14:paraId="6668C1F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5BE5C6C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9083E1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6C42410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44C6B45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c>
          <w:tcPr>
            <w:tcW w:w="1132" w:type="dxa"/>
            <w:tcBorders>
              <w:top w:val="nil"/>
              <w:left w:val="nil"/>
              <w:bottom w:val="nil"/>
              <w:right w:val="nil"/>
            </w:tcBorders>
          </w:tcPr>
          <w:p w14:paraId="160149F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lang w:eastAsia="en-IE"/>
              </w:rPr>
            </w:pPr>
          </w:p>
        </w:tc>
      </w:tr>
      <w:tr w:rsidR="003D4454" w:rsidRPr="00C9671E" w14:paraId="00E8A375" w14:textId="77777777" w:rsidTr="00705B41">
        <w:trPr>
          <w:cantSplit/>
          <w:trHeight w:val="223"/>
        </w:trPr>
        <w:tc>
          <w:tcPr>
            <w:tcW w:w="6817" w:type="dxa"/>
            <w:tcBorders>
              <w:top w:val="nil"/>
              <w:left w:val="nil"/>
              <w:bottom w:val="nil"/>
              <w:right w:val="nil"/>
            </w:tcBorders>
          </w:tcPr>
          <w:p w14:paraId="3BFCDFA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b/>
                <w:bCs/>
                <w:noProof/>
                <w:color w:val="000000"/>
                <w:sz w:val="24"/>
                <w:szCs w:val="24"/>
              </w:rPr>
            </w:pPr>
            <w:r w:rsidRPr="00C9671E">
              <w:rPr>
                <w:rFonts w:ascii="Times New Roman" w:hAnsi="Times New Roman" w:cs="Times New Roman"/>
                <w:b/>
                <w:color w:val="000000"/>
                <w:sz w:val="24"/>
                <w:szCs w:val="24"/>
              </w:rPr>
              <w:t>Земјоделство</w:t>
            </w:r>
          </w:p>
        </w:tc>
        <w:tc>
          <w:tcPr>
            <w:tcW w:w="752" w:type="dxa"/>
            <w:tcBorders>
              <w:top w:val="single" w:sz="6" w:space="0" w:color="auto"/>
              <w:left w:val="single" w:sz="6" w:space="0" w:color="auto"/>
              <w:bottom w:val="single" w:sz="6" w:space="0" w:color="auto"/>
              <w:right w:val="single" w:sz="6" w:space="0" w:color="auto"/>
            </w:tcBorders>
          </w:tcPr>
          <w:p w14:paraId="6F1D57B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Забелешка</w:t>
            </w:r>
          </w:p>
        </w:tc>
        <w:tc>
          <w:tcPr>
            <w:tcW w:w="946" w:type="dxa"/>
            <w:tcBorders>
              <w:top w:val="single" w:sz="6" w:space="0" w:color="auto"/>
              <w:left w:val="single" w:sz="6" w:space="0" w:color="auto"/>
              <w:bottom w:val="single" w:sz="6" w:space="0" w:color="auto"/>
              <w:right w:val="single" w:sz="6" w:space="0" w:color="auto"/>
            </w:tcBorders>
          </w:tcPr>
          <w:p w14:paraId="53BB1B5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2009</w:t>
            </w:r>
          </w:p>
        </w:tc>
        <w:tc>
          <w:tcPr>
            <w:tcW w:w="1132" w:type="dxa"/>
            <w:tcBorders>
              <w:top w:val="single" w:sz="6" w:space="0" w:color="auto"/>
              <w:left w:val="single" w:sz="6" w:space="0" w:color="auto"/>
              <w:bottom w:val="single" w:sz="6" w:space="0" w:color="auto"/>
              <w:right w:val="single" w:sz="6" w:space="0" w:color="auto"/>
            </w:tcBorders>
          </w:tcPr>
          <w:p w14:paraId="4C13B47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2016</w:t>
            </w:r>
          </w:p>
        </w:tc>
        <w:tc>
          <w:tcPr>
            <w:tcW w:w="1132" w:type="dxa"/>
            <w:tcBorders>
              <w:top w:val="single" w:sz="6" w:space="0" w:color="auto"/>
              <w:left w:val="single" w:sz="6" w:space="0" w:color="auto"/>
              <w:bottom w:val="single" w:sz="6" w:space="0" w:color="auto"/>
              <w:right w:val="single" w:sz="6" w:space="0" w:color="auto"/>
            </w:tcBorders>
          </w:tcPr>
          <w:p w14:paraId="2AFE078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2017</w:t>
            </w:r>
          </w:p>
        </w:tc>
        <w:tc>
          <w:tcPr>
            <w:tcW w:w="1132" w:type="dxa"/>
            <w:tcBorders>
              <w:top w:val="single" w:sz="6" w:space="0" w:color="auto"/>
              <w:left w:val="single" w:sz="6" w:space="0" w:color="auto"/>
              <w:bottom w:val="single" w:sz="6" w:space="0" w:color="auto"/>
              <w:right w:val="single" w:sz="6" w:space="0" w:color="auto"/>
            </w:tcBorders>
          </w:tcPr>
          <w:p w14:paraId="6E729908"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2018</w:t>
            </w:r>
          </w:p>
        </w:tc>
        <w:tc>
          <w:tcPr>
            <w:tcW w:w="1132" w:type="dxa"/>
            <w:tcBorders>
              <w:top w:val="single" w:sz="6" w:space="0" w:color="auto"/>
              <w:left w:val="single" w:sz="6" w:space="0" w:color="auto"/>
              <w:bottom w:val="single" w:sz="6" w:space="0" w:color="auto"/>
              <w:right w:val="single" w:sz="6" w:space="0" w:color="auto"/>
            </w:tcBorders>
          </w:tcPr>
          <w:p w14:paraId="3D65B87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2019</w:t>
            </w:r>
          </w:p>
        </w:tc>
        <w:tc>
          <w:tcPr>
            <w:tcW w:w="1132" w:type="dxa"/>
            <w:tcBorders>
              <w:top w:val="single" w:sz="6" w:space="0" w:color="auto"/>
              <w:left w:val="single" w:sz="6" w:space="0" w:color="auto"/>
              <w:bottom w:val="single" w:sz="6" w:space="0" w:color="auto"/>
              <w:right w:val="single" w:sz="6" w:space="0" w:color="auto"/>
            </w:tcBorders>
          </w:tcPr>
          <w:p w14:paraId="0261E70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r>
      <w:tr w:rsidR="003D4454" w:rsidRPr="00C9671E" w14:paraId="418EF8B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7D35D8D"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Индекс на обемот на производство на земјоделски стоки и услуги (при производни цени) (2010 = 100)</w:t>
            </w:r>
          </w:p>
        </w:tc>
        <w:tc>
          <w:tcPr>
            <w:tcW w:w="752" w:type="dxa"/>
            <w:tcBorders>
              <w:top w:val="single" w:sz="6" w:space="0" w:color="auto"/>
              <w:left w:val="single" w:sz="6" w:space="0" w:color="auto"/>
              <w:bottom w:val="single" w:sz="6" w:space="0" w:color="auto"/>
              <w:right w:val="single" w:sz="6" w:space="0" w:color="auto"/>
            </w:tcBorders>
          </w:tcPr>
          <w:p w14:paraId="02B8D4D8"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7CA150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93,6 w</w:t>
            </w:r>
          </w:p>
        </w:tc>
        <w:tc>
          <w:tcPr>
            <w:tcW w:w="1132" w:type="dxa"/>
            <w:tcBorders>
              <w:top w:val="single" w:sz="6" w:space="0" w:color="auto"/>
              <w:left w:val="single" w:sz="6" w:space="0" w:color="auto"/>
              <w:bottom w:val="single" w:sz="6" w:space="0" w:color="auto"/>
              <w:right w:val="single" w:sz="6" w:space="0" w:color="auto"/>
            </w:tcBorders>
          </w:tcPr>
          <w:p w14:paraId="6E96382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112,2 w</w:t>
            </w:r>
          </w:p>
        </w:tc>
        <w:tc>
          <w:tcPr>
            <w:tcW w:w="1132" w:type="dxa"/>
            <w:tcBorders>
              <w:top w:val="single" w:sz="6" w:space="0" w:color="auto"/>
              <w:left w:val="single" w:sz="6" w:space="0" w:color="auto"/>
              <w:bottom w:val="single" w:sz="6" w:space="0" w:color="auto"/>
              <w:right w:val="single" w:sz="6" w:space="0" w:color="auto"/>
            </w:tcBorders>
          </w:tcPr>
          <w:p w14:paraId="13F4923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99,9 w</w:t>
            </w:r>
          </w:p>
        </w:tc>
        <w:tc>
          <w:tcPr>
            <w:tcW w:w="1132" w:type="dxa"/>
            <w:tcBorders>
              <w:top w:val="single" w:sz="6" w:space="0" w:color="auto"/>
              <w:left w:val="single" w:sz="6" w:space="0" w:color="auto"/>
              <w:bottom w:val="single" w:sz="6" w:space="0" w:color="auto"/>
              <w:right w:val="single" w:sz="6" w:space="0" w:color="auto"/>
            </w:tcBorders>
          </w:tcPr>
          <w:p w14:paraId="2899135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111,8 w</w:t>
            </w:r>
          </w:p>
        </w:tc>
        <w:tc>
          <w:tcPr>
            <w:tcW w:w="1132" w:type="dxa"/>
            <w:tcBorders>
              <w:top w:val="single" w:sz="6" w:space="0" w:color="auto"/>
              <w:left w:val="single" w:sz="6" w:space="0" w:color="auto"/>
              <w:bottom w:val="single" w:sz="6" w:space="0" w:color="auto"/>
              <w:right w:val="single" w:sz="6" w:space="0" w:color="auto"/>
            </w:tcBorders>
          </w:tcPr>
          <w:p w14:paraId="138759D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105,4 w</w:t>
            </w:r>
          </w:p>
        </w:tc>
        <w:tc>
          <w:tcPr>
            <w:tcW w:w="1132" w:type="dxa"/>
            <w:tcBorders>
              <w:top w:val="single" w:sz="6" w:space="0" w:color="auto"/>
              <w:left w:val="single" w:sz="6" w:space="0" w:color="auto"/>
              <w:bottom w:val="single" w:sz="6" w:space="0" w:color="auto"/>
              <w:right w:val="single" w:sz="6" w:space="0" w:color="auto"/>
            </w:tcBorders>
          </w:tcPr>
          <w:p w14:paraId="4A8DEB7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r>
      <w:tr w:rsidR="003D4454" w:rsidRPr="00C9671E" w14:paraId="1B006B17"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24E85F1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Искористена земјоделска површина (во илјади хектари)</w:t>
            </w:r>
          </w:p>
        </w:tc>
        <w:tc>
          <w:tcPr>
            <w:tcW w:w="752" w:type="dxa"/>
            <w:tcBorders>
              <w:top w:val="single" w:sz="6" w:space="0" w:color="auto"/>
              <w:left w:val="single" w:sz="6" w:space="0" w:color="auto"/>
              <w:bottom w:val="single" w:sz="6" w:space="0" w:color="auto"/>
              <w:right w:val="single" w:sz="6" w:space="0" w:color="auto"/>
            </w:tcBorders>
          </w:tcPr>
          <w:p w14:paraId="0194002C"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5D7482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1.014,4</w:t>
            </w:r>
          </w:p>
        </w:tc>
        <w:tc>
          <w:tcPr>
            <w:tcW w:w="1132" w:type="dxa"/>
            <w:tcBorders>
              <w:top w:val="single" w:sz="6" w:space="0" w:color="auto"/>
              <w:left w:val="single" w:sz="6" w:space="0" w:color="auto"/>
              <w:bottom w:val="single" w:sz="6" w:space="0" w:color="auto"/>
              <w:right w:val="single" w:sz="6" w:space="0" w:color="auto"/>
            </w:tcBorders>
          </w:tcPr>
          <w:p w14:paraId="4EF8453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1.267,1</w:t>
            </w:r>
          </w:p>
        </w:tc>
        <w:tc>
          <w:tcPr>
            <w:tcW w:w="1132" w:type="dxa"/>
            <w:tcBorders>
              <w:top w:val="single" w:sz="6" w:space="0" w:color="auto"/>
              <w:left w:val="single" w:sz="6" w:space="0" w:color="auto"/>
              <w:bottom w:val="single" w:sz="6" w:space="0" w:color="auto"/>
              <w:right w:val="single" w:sz="6" w:space="0" w:color="auto"/>
            </w:tcBorders>
          </w:tcPr>
          <w:p w14:paraId="2584C2D6"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1.266,0</w:t>
            </w:r>
          </w:p>
        </w:tc>
        <w:tc>
          <w:tcPr>
            <w:tcW w:w="1132" w:type="dxa"/>
            <w:tcBorders>
              <w:top w:val="single" w:sz="6" w:space="0" w:color="auto"/>
              <w:left w:val="single" w:sz="6" w:space="0" w:color="auto"/>
              <w:bottom w:val="single" w:sz="6" w:space="0" w:color="auto"/>
              <w:right w:val="single" w:sz="6" w:space="0" w:color="auto"/>
            </w:tcBorders>
          </w:tcPr>
          <w:p w14:paraId="7133582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1.264,1</w:t>
            </w:r>
          </w:p>
        </w:tc>
        <w:tc>
          <w:tcPr>
            <w:tcW w:w="1132" w:type="dxa"/>
            <w:tcBorders>
              <w:top w:val="single" w:sz="6" w:space="0" w:color="auto"/>
              <w:left w:val="single" w:sz="6" w:space="0" w:color="auto"/>
              <w:bottom w:val="single" w:sz="6" w:space="0" w:color="auto"/>
              <w:right w:val="single" w:sz="6" w:space="0" w:color="auto"/>
            </w:tcBorders>
          </w:tcPr>
          <w:p w14:paraId="59CA4DF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1.264,6</w:t>
            </w:r>
          </w:p>
        </w:tc>
        <w:tc>
          <w:tcPr>
            <w:tcW w:w="1132" w:type="dxa"/>
            <w:tcBorders>
              <w:top w:val="single" w:sz="6" w:space="0" w:color="auto"/>
              <w:left w:val="single" w:sz="6" w:space="0" w:color="auto"/>
              <w:bottom w:val="single" w:sz="6" w:space="0" w:color="auto"/>
              <w:right w:val="single" w:sz="6" w:space="0" w:color="auto"/>
            </w:tcBorders>
          </w:tcPr>
          <w:p w14:paraId="411D458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1.270,5</w:t>
            </w:r>
          </w:p>
        </w:tc>
      </w:tr>
      <w:tr w:rsidR="003D4454" w:rsidRPr="00C9671E" w14:paraId="457F8596"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A19032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lastRenderedPageBreak/>
              <w:t>Број на добиток: живи говеда (во илјади грла, крај на периодот)</w:t>
            </w:r>
          </w:p>
        </w:tc>
        <w:tc>
          <w:tcPr>
            <w:tcW w:w="752" w:type="dxa"/>
            <w:tcBorders>
              <w:top w:val="single" w:sz="6" w:space="0" w:color="auto"/>
              <w:left w:val="single" w:sz="6" w:space="0" w:color="auto"/>
              <w:bottom w:val="single" w:sz="6" w:space="0" w:color="auto"/>
              <w:right w:val="single" w:sz="6" w:space="0" w:color="auto"/>
            </w:tcBorders>
          </w:tcPr>
          <w:p w14:paraId="2C9BF3E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75E87F8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7370D7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255,0</w:t>
            </w:r>
          </w:p>
        </w:tc>
        <w:tc>
          <w:tcPr>
            <w:tcW w:w="1132" w:type="dxa"/>
            <w:tcBorders>
              <w:top w:val="single" w:sz="6" w:space="0" w:color="auto"/>
              <w:left w:val="single" w:sz="6" w:space="0" w:color="auto"/>
              <w:bottom w:val="single" w:sz="6" w:space="0" w:color="auto"/>
              <w:right w:val="single" w:sz="6" w:space="0" w:color="auto"/>
            </w:tcBorders>
          </w:tcPr>
          <w:p w14:paraId="4B0071A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255,0</w:t>
            </w:r>
          </w:p>
        </w:tc>
        <w:tc>
          <w:tcPr>
            <w:tcW w:w="1132" w:type="dxa"/>
            <w:tcBorders>
              <w:top w:val="single" w:sz="6" w:space="0" w:color="auto"/>
              <w:left w:val="single" w:sz="6" w:space="0" w:color="auto"/>
              <w:bottom w:val="single" w:sz="6" w:space="0" w:color="auto"/>
              <w:right w:val="single" w:sz="6" w:space="0" w:color="auto"/>
            </w:tcBorders>
          </w:tcPr>
          <w:p w14:paraId="6B13DA1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256,0</w:t>
            </w:r>
          </w:p>
        </w:tc>
        <w:tc>
          <w:tcPr>
            <w:tcW w:w="1132" w:type="dxa"/>
            <w:tcBorders>
              <w:top w:val="single" w:sz="6" w:space="0" w:color="auto"/>
              <w:left w:val="single" w:sz="6" w:space="0" w:color="auto"/>
              <w:bottom w:val="single" w:sz="6" w:space="0" w:color="auto"/>
              <w:right w:val="single" w:sz="6" w:space="0" w:color="auto"/>
            </w:tcBorders>
          </w:tcPr>
          <w:p w14:paraId="73A1C14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219,0</w:t>
            </w:r>
          </w:p>
        </w:tc>
        <w:tc>
          <w:tcPr>
            <w:tcW w:w="1132" w:type="dxa"/>
            <w:tcBorders>
              <w:top w:val="single" w:sz="6" w:space="0" w:color="auto"/>
              <w:left w:val="single" w:sz="6" w:space="0" w:color="auto"/>
              <w:bottom w:val="single" w:sz="6" w:space="0" w:color="auto"/>
              <w:right w:val="single" w:sz="6" w:space="0" w:color="auto"/>
            </w:tcBorders>
          </w:tcPr>
          <w:p w14:paraId="1F817C0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222,0</w:t>
            </w:r>
          </w:p>
        </w:tc>
      </w:tr>
      <w:tr w:rsidR="003D4454" w:rsidRPr="00C9671E" w14:paraId="3F24BCA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4834A70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Број на добиток: живи свињи (во илјади грла, крај на периодот)</w:t>
            </w:r>
          </w:p>
        </w:tc>
        <w:tc>
          <w:tcPr>
            <w:tcW w:w="752" w:type="dxa"/>
            <w:tcBorders>
              <w:top w:val="single" w:sz="6" w:space="0" w:color="auto"/>
              <w:left w:val="single" w:sz="6" w:space="0" w:color="auto"/>
              <w:bottom w:val="single" w:sz="6" w:space="0" w:color="auto"/>
              <w:right w:val="single" w:sz="6" w:space="0" w:color="auto"/>
            </w:tcBorders>
          </w:tcPr>
          <w:p w14:paraId="26F99C9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50F8A1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6D4912E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203,0</w:t>
            </w:r>
          </w:p>
        </w:tc>
        <w:tc>
          <w:tcPr>
            <w:tcW w:w="1132" w:type="dxa"/>
            <w:tcBorders>
              <w:top w:val="single" w:sz="6" w:space="0" w:color="auto"/>
              <w:left w:val="single" w:sz="6" w:space="0" w:color="auto"/>
              <w:bottom w:val="single" w:sz="6" w:space="0" w:color="auto"/>
              <w:right w:val="single" w:sz="6" w:space="0" w:color="auto"/>
            </w:tcBorders>
          </w:tcPr>
          <w:p w14:paraId="2767D59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202,0</w:t>
            </w:r>
          </w:p>
        </w:tc>
        <w:tc>
          <w:tcPr>
            <w:tcW w:w="1132" w:type="dxa"/>
            <w:tcBorders>
              <w:top w:val="single" w:sz="6" w:space="0" w:color="auto"/>
              <w:left w:val="single" w:sz="6" w:space="0" w:color="auto"/>
              <w:bottom w:val="single" w:sz="6" w:space="0" w:color="auto"/>
              <w:right w:val="single" w:sz="6" w:space="0" w:color="auto"/>
            </w:tcBorders>
          </w:tcPr>
          <w:p w14:paraId="557973B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196,0</w:t>
            </w:r>
          </w:p>
        </w:tc>
        <w:tc>
          <w:tcPr>
            <w:tcW w:w="1132" w:type="dxa"/>
            <w:tcBorders>
              <w:top w:val="single" w:sz="6" w:space="0" w:color="auto"/>
              <w:left w:val="single" w:sz="6" w:space="0" w:color="auto"/>
              <w:bottom w:val="single" w:sz="6" w:space="0" w:color="auto"/>
              <w:right w:val="single" w:sz="6" w:space="0" w:color="auto"/>
            </w:tcBorders>
          </w:tcPr>
          <w:p w14:paraId="2F5840D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136,0</w:t>
            </w:r>
          </w:p>
        </w:tc>
        <w:tc>
          <w:tcPr>
            <w:tcW w:w="1132" w:type="dxa"/>
            <w:tcBorders>
              <w:top w:val="single" w:sz="6" w:space="0" w:color="auto"/>
              <w:left w:val="single" w:sz="6" w:space="0" w:color="auto"/>
              <w:bottom w:val="single" w:sz="6" w:space="0" w:color="auto"/>
              <w:right w:val="single" w:sz="6" w:space="0" w:color="auto"/>
            </w:tcBorders>
          </w:tcPr>
          <w:p w14:paraId="67BC556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164,0</w:t>
            </w:r>
          </w:p>
        </w:tc>
      </w:tr>
      <w:tr w:rsidR="003D4454" w:rsidRPr="00C9671E" w14:paraId="1A235E98"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7F6594D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Број на добиток: живи овци и живи кози (во илјади грла, крај на периодот)</w:t>
            </w:r>
          </w:p>
        </w:tc>
        <w:tc>
          <w:tcPr>
            <w:tcW w:w="752" w:type="dxa"/>
            <w:tcBorders>
              <w:top w:val="single" w:sz="6" w:space="0" w:color="auto"/>
              <w:left w:val="single" w:sz="6" w:space="0" w:color="auto"/>
              <w:bottom w:val="single" w:sz="6" w:space="0" w:color="auto"/>
              <w:right w:val="single" w:sz="6" w:space="0" w:color="auto"/>
            </w:tcBorders>
          </w:tcPr>
          <w:p w14:paraId="770C4EA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2E32466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9C34F8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825,0 s</w:t>
            </w:r>
          </w:p>
        </w:tc>
        <w:tc>
          <w:tcPr>
            <w:tcW w:w="1132" w:type="dxa"/>
            <w:tcBorders>
              <w:top w:val="single" w:sz="6" w:space="0" w:color="auto"/>
              <w:left w:val="single" w:sz="6" w:space="0" w:color="auto"/>
              <w:bottom w:val="single" w:sz="6" w:space="0" w:color="auto"/>
              <w:right w:val="single" w:sz="6" w:space="0" w:color="auto"/>
            </w:tcBorders>
          </w:tcPr>
          <w:p w14:paraId="34CFE3A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832,0 s</w:t>
            </w:r>
          </w:p>
        </w:tc>
        <w:tc>
          <w:tcPr>
            <w:tcW w:w="1132" w:type="dxa"/>
            <w:tcBorders>
              <w:top w:val="single" w:sz="6" w:space="0" w:color="auto"/>
              <w:left w:val="single" w:sz="6" w:space="0" w:color="auto"/>
              <w:bottom w:val="single" w:sz="6" w:space="0" w:color="auto"/>
              <w:right w:val="single" w:sz="6" w:space="0" w:color="auto"/>
            </w:tcBorders>
          </w:tcPr>
          <w:p w14:paraId="265CB10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844,0 s</w:t>
            </w:r>
          </w:p>
        </w:tc>
        <w:tc>
          <w:tcPr>
            <w:tcW w:w="1132" w:type="dxa"/>
            <w:tcBorders>
              <w:top w:val="single" w:sz="6" w:space="0" w:color="auto"/>
              <w:left w:val="single" w:sz="6" w:space="0" w:color="auto"/>
              <w:bottom w:val="single" w:sz="6" w:space="0" w:color="auto"/>
              <w:right w:val="single" w:sz="6" w:space="0" w:color="auto"/>
            </w:tcBorders>
          </w:tcPr>
          <w:p w14:paraId="4CFFC743"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771,0 s</w:t>
            </w:r>
          </w:p>
        </w:tc>
        <w:tc>
          <w:tcPr>
            <w:tcW w:w="1132" w:type="dxa"/>
            <w:tcBorders>
              <w:top w:val="single" w:sz="6" w:space="0" w:color="auto"/>
              <w:left w:val="single" w:sz="6" w:space="0" w:color="auto"/>
              <w:bottom w:val="single" w:sz="6" w:space="0" w:color="auto"/>
              <w:right w:val="single" w:sz="6" w:space="0" w:color="auto"/>
            </w:tcBorders>
          </w:tcPr>
          <w:p w14:paraId="0B8C22E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726,0 s</w:t>
            </w:r>
          </w:p>
        </w:tc>
      </w:tr>
      <w:tr w:rsidR="003D4454" w:rsidRPr="00C9671E" w14:paraId="7C30337A"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59F0B7EC"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Сирово млеко на располагање на фармите (во илјади тони)</w:t>
            </w:r>
          </w:p>
        </w:tc>
        <w:tc>
          <w:tcPr>
            <w:tcW w:w="752" w:type="dxa"/>
            <w:tcBorders>
              <w:top w:val="single" w:sz="6" w:space="0" w:color="auto"/>
              <w:left w:val="single" w:sz="6" w:space="0" w:color="auto"/>
              <w:bottom w:val="single" w:sz="6" w:space="0" w:color="auto"/>
              <w:right w:val="single" w:sz="6" w:space="0" w:color="auto"/>
            </w:tcBorders>
          </w:tcPr>
          <w:p w14:paraId="02CCB64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2785CB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t>
            </w:r>
          </w:p>
        </w:tc>
        <w:tc>
          <w:tcPr>
            <w:tcW w:w="1132" w:type="dxa"/>
            <w:tcBorders>
              <w:top w:val="single" w:sz="6" w:space="0" w:color="auto"/>
              <w:left w:val="single" w:sz="6" w:space="0" w:color="auto"/>
              <w:bottom w:val="single" w:sz="6" w:space="0" w:color="auto"/>
              <w:right w:val="single" w:sz="6" w:space="0" w:color="auto"/>
            </w:tcBorders>
          </w:tcPr>
          <w:p w14:paraId="5E8A8DE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477,4</w:t>
            </w:r>
          </w:p>
        </w:tc>
        <w:tc>
          <w:tcPr>
            <w:tcW w:w="1132" w:type="dxa"/>
            <w:tcBorders>
              <w:top w:val="single" w:sz="6" w:space="0" w:color="auto"/>
              <w:left w:val="single" w:sz="6" w:space="0" w:color="auto"/>
              <w:bottom w:val="single" w:sz="6" w:space="0" w:color="auto"/>
              <w:right w:val="single" w:sz="6" w:space="0" w:color="auto"/>
            </w:tcBorders>
          </w:tcPr>
          <w:p w14:paraId="0474016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462,2</w:t>
            </w:r>
          </w:p>
        </w:tc>
        <w:tc>
          <w:tcPr>
            <w:tcW w:w="1132" w:type="dxa"/>
            <w:tcBorders>
              <w:top w:val="single" w:sz="6" w:space="0" w:color="auto"/>
              <w:left w:val="single" w:sz="6" w:space="0" w:color="auto"/>
              <w:bottom w:val="single" w:sz="6" w:space="0" w:color="auto"/>
              <w:right w:val="single" w:sz="6" w:space="0" w:color="auto"/>
            </w:tcBorders>
          </w:tcPr>
          <w:p w14:paraId="7166C114"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478,5</w:t>
            </w:r>
          </w:p>
        </w:tc>
        <w:tc>
          <w:tcPr>
            <w:tcW w:w="1132" w:type="dxa"/>
            <w:tcBorders>
              <w:top w:val="single" w:sz="6" w:space="0" w:color="auto"/>
              <w:left w:val="single" w:sz="6" w:space="0" w:color="auto"/>
              <w:bottom w:val="single" w:sz="6" w:space="0" w:color="auto"/>
              <w:right w:val="single" w:sz="6" w:space="0" w:color="auto"/>
            </w:tcBorders>
          </w:tcPr>
          <w:p w14:paraId="0E0A155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456,1</w:t>
            </w:r>
          </w:p>
        </w:tc>
        <w:tc>
          <w:tcPr>
            <w:tcW w:w="1132" w:type="dxa"/>
            <w:tcBorders>
              <w:top w:val="single" w:sz="6" w:space="0" w:color="auto"/>
              <w:left w:val="single" w:sz="6" w:space="0" w:color="auto"/>
              <w:bottom w:val="single" w:sz="6" w:space="0" w:color="auto"/>
              <w:right w:val="single" w:sz="6" w:space="0" w:color="auto"/>
            </w:tcBorders>
          </w:tcPr>
          <w:p w14:paraId="33E1E58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461,1</w:t>
            </w:r>
          </w:p>
        </w:tc>
      </w:tr>
      <w:tr w:rsidR="003D4454" w:rsidRPr="00C9671E" w14:paraId="1C25B8E3"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033C6A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Производство на ожнеани култури: жита (заедно со ориз) (во илјади тони)</w:t>
            </w:r>
          </w:p>
        </w:tc>
        <w:tc>
          <w:tcPr>
            <w:tcW w:w="752" w:type="dxa"/>
            <w:tcBorders>
              <w:top w:val="single" w:sz="6" w:space="0" w:color="auto"/>
              <w:left w:val="single" w:sz="6" w:space="0" w:color="auto"/>
              <w:bottom w:val="single" w:sz="6" w:space="0" w:color="auto"/>
              <w:right w:val="single" w:sz="6" w:space="0" w:color="auto"/>
            </w:tcBorders>
          </w:tcPr>
          <w:p w14:paraId="3D59E8B0"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3D407BD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605,7</w:t>
            </w:r>
          </w:p>
        </w:tc>
        <w:tc>
          <w:tcPr>
            <w:tcW w:w="1132" w:type="dxa"/>
            <w:tcBorders>
              <w:top w:val="single" w:sz="6" w:space="0" w:color="auto"/>
              <w:left w:val="single" w:sz="6" w:space="0" w:color="auto"/>
              <w:bottom w:val="single" w:sz="6" w:space="0" w:color="auto"/>
              <w:right w:val="single" w:sz="6" w:space="0" w:color="auto"/>
            </w:tcBorders>
          </w:tcPr>
          <w:p w14:paraId="6DDC6B2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640,9</w:t>
            </w:r>
          </w:p>
        </w:tc>
        <w:tc>
          <w:tcPr>
            <w:tcW w:w="1132" w:type="dxa"/>
            <w:tcBorders>
              <w:top w:val="single" w:sz="6" w:space="0" w:color="auto"/>
              <w:left w:val="single" w:sz="6" w:space="0" w:color="auto"/>
              <w:bottom w:val="single" w:sz="6" w:space="0" w:color="auto"/>
              <w:right w:val="single" w:sz="6" w:space="0" w:color="auto"/>
            </w:tcBorders>
          </w:tcPr>
          <w:p w14:paraId="3C08AFC2"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447,7</w:t>
            </w:r>
          </w:p>
        </w:tc>
        <w:tc>
          <w:tcPr>
            <w:tcW w:w="1132" w:type="dxa"/>
            <w:tcBorders>
              <w:top w:val="single" w:sz="6" w:space="0" w:color="auto"/>
              <w:left w:val="single" w:sz="6" w:space="0" w:color="auto"/>
              <w:bottom w:val="single" w:sz="6" w:space="0" w:color="auto"/>
              <w:right w:val="single" w:sz="6" w:space="0" w:color="auto"/>
            </w:tcBorders>
          </w:tcPr>
          <w:p w14:paraId="344B7C9F"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598,3</w:t>
            </w:r>
          </w:p>
        </w:tc>
        <w:tc>
          <w:tcPr>
            <w:tcW w:w="1132" w:type="dxa"/>
            <w:tcBorders>
              <w:top w:val="single" w:sz="6" w:space="0" w:color="auto"/>
              <w:left w:val="single" w:sz="6" w:space="0" w:color="auto"/>
              <w:bottom w:val="single" w:sz="6" w:space="0" w:color="auto"/>
              <w:right w:val="single" w:sz="6" w:space="0" w:color="auto"/>
            </w:tcBorders>
          </w:tcPr>
          <w:p w14:paraId="4EF89CC1"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563,1</w:t>
            </w:r>
          </w:p>
        </w:tc>
        <w:tc>
          <w:tcPr>
            <w:tcW w:w="1132" w:type="dxa"/>
            <w:tcBorders>
              <w:top w:val="single" w:sz="6" w:space="0" w:color="auto"/>
              <w:left w:val="single" w:sz="6" w:space="0" w:color="auto"/>
              <w:bottom w:val="single" w:sz="6" w:space="0" w:color="auto"/>
              <w:right w:val="single" w:sz="6" w:space="0" w:color="auto"/>
            </w:tcBorders>
          </w:tcPr>
          <w:p w14:paraId="32A26C6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578,8</w:t>
            </w:r>
          </w:p>
        </w:tc>
      </w:tr>
      <w:tr w:rsidR="003D4454" w:rsidRPr="00C9671E" w14:paraId="5BADBBE1"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6E328D8A"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Производство на ожнеани култури: шеќерна репка (во илјади тони)</w:t>
            </w:r>
          </w:p>
        </w:tc>
        <w:tc>
          <w:tcPr>
            <w:tcW w:w="752" w:type="dxa"/>
            <w:tcBorders>
              <w:top w:val="single" w:sz="6" w:space="0" w:color="auto"/>
              <w:left w:val="single" w:sz="6" w:space="0" w:color="auto"/>
              <w:bottom w:val="single" w:sz="6" w:space="0" w:color="auto"/>
              <w:right w:val="single" w:sz="6" w:space="0" w:color="auto"/>
            </w:tcBorders>
          </w:tcPr>
          <w:p w14:paraId="246CE65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00CE41C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0,0</w:t>
            </w:r>
          </w:p>
        </w:tc>
        <w:tc>
          <w:tcPr>
            <w:tcW w:w="1132" w:type="dxa"/>
            <w:tcBorders>
              <w:top w:val="single" w:sz="6" w:space="0" w:color="auto"/>
              <w:left w:val="single" w:sz="6" w:space="0" w:color="auto"/>
              <w:bottom w:val="single" w:sz="6" w:space="0" w:color="auto"/>
              <w:right w:val="single" w:sz="6" w:space="0" w:color="auto"/>
            </w:tcBorders>
          </w:tcPr>
          <w:p w14:paraId="03BD0C90"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0,0</w:t>
            </w:r>
          </w:p>
        </w:tc>
        <w:tc>
          <w:tcPr>
            <w:tcW w:w="1132" w:type="dxa"/>
            <w:tcBorders>
              <w:top w:val="single" w:sz="6" w:space="0" w:color="auto"/>
              <w:left w:val="single" w:sz="6" w:space="0" w:color="auto"/>
              <w:bottom w:val="single" w:sz="6" w:space="0" w:color="auto"/>
              <w:right w:val="single" w:sz="6" w:space="0" w:color="auto"/>
            </w:tcBorders>
          </w:tcPr>
          <w:p w14:paraId="0697B16E"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0,0</w:t>
            </w:r>
          </w:p>
        </w:tc>
        <w:tc>
          <w:tcPr>
            <w:tcW w:w="1132" w:type="dxa"/>
            <w:tcBorders>
              <w:top w:val="single" w:sz="6" w:space="0" w:color="auto"/>
              <w:left w:val="single" w:sz="6" w:space="0" w:color="auto"/>
              <w:bottom w:val="single" w:sz="6" w:space="0" w:color="auto"/>
              <w:right w:val="single" w:sz="6" w:space="0" w:color="auto"/>
            </w:tcBorders>
          </w:tcPr>
          <w:p w14:paraId="047E8205"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0,0</w:t>
            </w:r>
          </w:p>
        </w:tc>
        <w:tc>
          <w:tcPr>
            <w:tcW w:w="1132" w:type="dxa"/>
            <w:tcBorders>
              <w:top w:val="single" w:sz="6" w:space="0" w:color="auto"/>
              <w:left w:val="single" w:sz="6" w:space="0" w:color="auto"/>
              <w:bottom w:val="single" w:sz="6" w:space="0" w:color="auto"/>
              <w:right w:val="single" w:sz="6" w:space="0" w:color="auto"/>
            </w:tcBorders>
          </w:tcPr>
          <w:p w14:paraId="044E9EBD"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0,0</w:t>
            </w:r>
          </w:p>
        </w:tc>
        <w:tc>
          <w:tcPr>
            <w:tcW w:w="1132" w:type="dxa"/>
            <w:tcBorders>
              <w:top w:val="single" w:sz="6" w:space="0" w:color="auto"/>
              <w:left w:val="single" w:sz="6" w:space="0" w:color="auto"/>
              <w:bottom w:val="single" w:sz="6" w:space="0" w:color="auto"/>
              <w:right w:val="single" w:sz="6" w:space="0" w:color="auto"/>
            </w:tcBorders>
          </w:tcPr>
          <w:p w14:paraId="572C5B0C"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0,0</w:t>
            </w:r>
          </w:p>
        </w:tc>
      </w:tr>
      <w:tr w:rsidR="003D4454" w:rsidRPr="00C9671E" w14:paraId="4B777E82" w14:textId="77777777" w:rsidTr="00705B41">
        <w:trPr>
          <w:cantSplit/>
          <w:trHeight w:val="223"/>
        </w:trPr>
        <w:tc>
          <w:tcPr>
            <w:tcW w:w="6817" w:type="dxa"/>
            <w:tcBorders>
              <w:top w:val="single" w:sz="6" w:space="0" w:color="auto"/>
              <w:left w:val="single" w:sz="6" w:space="0" w:color="auto"/>
              <w:bottom w:val="single" w:sz="6" w:space="0" w:color="auto"/>
              <w:right w:val="single" w:sz="6" w:space="0" w:color="auto"/>
            </w:tcBorders>
          </w:tcPr>
          <w:p w14:paraId="330D95A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Производство на собрани култури: зеленчук (во илјади тони)</w:t>
            </w:r>
          </w:p>
        </w:tc>
        <w:tc>
          <w:tcPr>
            <w:tcW w:w="752" w:type="dxa"/>
            <w:tcBorders>
              <w:top w:val="single" w:sz="6" w:space="0" w:color="auto"/>
              <w:left w:val="single" w:sz="6" w:space="0" w:color="auto"/>
              <w:bottom w:val="single" w:sz="6" w:space="0" w:color="auto"/>
              <w:right w:val="single" w:sz="6" w:space="0" w:color="auto"/>
            </w:tcBorders>
          </w:tcPr>
          <w:p w14:paraId="2B323B1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946" w:type="dxa"/>
            <w:tcBorders>
              <w:top w:val="single" w:sz="6" w:space="0" w:color="auto"/>
              <w:left w:val="single" w:sz="6" w:space="0" w:color="auto"/>
              <w:bottom w:val="single" w:sz="6" w:space="0" w:color="auto"/>
              <w:right w:val="single" w:sz="6" w:space="0" w:color="auto"/>
            </w:tcBorders>
          </w:tcPr>
          <w:p w14:paraId="4112005B"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648,8</w:t>
            </w:r>
          </w:p>
        </w:tc>
        <w:tc>
          <w:tcPr>
            <w:tcW w:w="1132" w:type="dxa"/>
            <w:tcBorders>
              <w:top w:val="single" w:sz="6" w:space="0" w:color="auto"/>
              <w:left w:val="single" w:sz="6" w:space="0" w:color="auto"/>
              <w:bottom w:val="single" w:sz="6" w:space="0" w:color="auto"/>
              <w:right w:val="single" w:sz="6" w:space="0" w:color="auto"/>
            </w:tcBorders>
          </w:tcPr>
          <w:p w14:paraId="6AA4677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810,0</w:t>
            </w:r>
          </w:p>
        </w:tc>
        <w:tc>
          <w:tcPr>
            <w:tcW w:w="1132" w:type="dxa"/>
            <w:tcBorders>
              <w:top w:val="single" w:sz="6" w:space="0" w:color="auto"/>
              <w:left w:val="single" w:sz="6" w:space="0" w:color="auto"/>
              <w:bottom w:val="single" w:sz="6" w:space="0" w:color="auto"/>
              <w:right w:val="single" w:sz="6" w:space="0" w:color="auto"/>
            </w:tcBorders>
          </w:tcPr>
          <w:p w14:paraId="40223A3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769,6</w:t>
            </w:r>
          </w:p>
        </w:tc>
        <w:tc>
          <w:tcPr>
            <w:tcW w:w="1132" w:type="dxa"/>
            <w:tcBorders>
              <w:top w:val="single" w:sz="6" w:space="0" w:color="auto"/>
              <w:left w:val="single" w:sz="6" w:space="0" w:color="auto"/>
              <w:bottom w:val="single" w:sz="6" w:space="0" w:color="auto"/>
              <w:right w:val="single" w:sz="6" w:space="0" w:color="auto"/>
            </w:tcBorders>
          </w:tcPr>
          <w:p w14:paraId="7C201EBA"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792,9</w:t>
            </w:r>
          </w:p>
        </w:tc>
        <w:tc>
          <w:tcPr>
            <w:tcW w:w="1132" w:type="dxa"/>
            <w:tcBorders>
              <w:top w:val="single" w:sz="6" w:space="0" w:color="auto"/>
              <w:left w:val="single" w:sz="6" w:space="0" w:color="auto"/>
              <w:bottom w:val="single" w:sz="6" w:space="0" w:color="auto"/>
              <w:right w:val="single" w:sz="6" w:space="0" w:color="auto"/>
            </w:tcBorders>
          </w:tcPr>
          <w:p w14:paraId="7747C219"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772,7</w:t>
            </w:r>
          </w:p>
        </w:tc>
        <w:tc>
          <w:tcPr>
            <w:tcW w:w="1132" w:type="dxa"/>
            <w:tcBorders>
              <w:top w:val="single" w:sz="6" w:space="0" w:color="auto"/>
              <w:left w:val="single" w:sz="6" w:space="0" w:color="auto"/>
              <w:bottom w:val="single" w:sz="6" w:space="0" w:color="auto"/>
              <w:right w:val="single" w:sz="6" w:space="0" w:color="auto"/>
            </w:tcBorders>
          </w:tcPr>
          <w:p w14:paraId="16EE3517" w14:textId="77777777" w:rsidR="003D4454" w:rsidRPr="00C9671E" w:rsidRDefault="003D4454" w:rsidP="006E4EB0">
            <w:pPr>
              <w:autoSpaceDE w:val="0"/>
              <w:autoSpaceDN w:val="0"/>
              <w:adjustRightInd w:val="0"/>
              <w:spacing w:before="120" w:after="120" w:line="240" w:lineRule="auto"/>
              <w:jc w:val="center"/>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794,2</w:t>
            </w:r>
          </w:p>
        </w:tc>
      </w:tr>
    </w:tbl>
    <w:p w14:paraId="423D222F" w14:textId="77777777" w:rsidR="003D4454" w:rsidRPr="00C9671E" w:rsidRDefault="003D4454" w:rsidP="006E4EB0">
      <w:pPr>
        <w:spacing w:before="120" w:after="120" w:line="240" w:lineRule="auto"/>
        <w:rPr>
          <w:rFonts w:ascii="Times New Roman" w:hAnsi="Times New Roman" w:cs="Times New Roman"/>
          <w:noProof/>
          <w:sz w:val="24"/>
          <w:szCs w:val="24"/>
          <w:lang w:eastAsia="en-GB"/>
        </w:rPr>
      </w:pPr>
    </w:p>
    <w:p w14:paraId="3E554090" w14:textId="561B902D" w:rsidR="003D4454" w:rsidRPr="00C9671E" w:rsidRDefault="003D4454" w:rsidP="006E4EB0">
      <w:pPr>
        <w:spacing w:before="120" w:after="120" w:line="240" w:lineRule="auto"/>
        <w:rPr>
          <w:rFonts w:ascii="Times New Roman" w:hAnsi="Times New Roman" w:cs="Times New Roman"/>
          <w:noProof/>
          <w:sz w:val="24"/>
          <w:szCs w:val="24"/>
        </w:rPr>
      </w:pPr>
      <w:r w:rsidRPr="00C9671E">
        <w:rPr>
          <w:rFonts w:ascii="Times New Roman" w:hAnsi="Times New Roman" w:cs="Times New Roman"/>
          <w:b/>
          <w:sz w:val="24"/>
          <w:szCs w:val="24"/>
        </w:rPr>
        <w:t>Извор: Евростат и статистичките органи во Северна Македонија</w:t>
      </w:r>
    </w:p>
    <w:p w14:paraId="679AA5D5" w14:textId="77777777" w:rsidR="003D4454" w:rsidRPr="00C9671E" w:rsidRDefault="003D4454" w:rsidP="006E4EB0">
      <w:pPr>
        <w:spacing w:before="120" w:after="120" w:line="240" w:lineRule="auto"/>
        <w:rPr>
          <w:rFonts w:ascii="Times New Roman" w:hAnsi="Times New Roman" w:cs="Times New Roman"/>
          <w:noProof/>
          <w:sz w:val="24"/>
          <w:szCs w:val="24"/>
          <w:lang w:eastAsia="en-GB"/>
        </w:rPr>
      </w:pPr>
    </w:p>
    <w:tbl>
      <w:tblPr>
        <w:tblW w:w="0" w:type="auto"/>
        <w:tblInd w:w="78" w:type="dxa"/>
        <w:tblLayout w:type="fixed"/>
        <w:tblLook w:val="0000" w:firstRow="0" w:lastRow="0" w:firstColumn="0" w:lastColumn="0" w:noHBand="0" w:noVBand="0"/>
      </w:tblPr>
      <w:tblGrid>
        <w:gridCol w:w="598"/>
        <w:gridCol w:w="12757"/>
      </w:tblGrid>
      <w:tr w:rsidR="003D4454" w:rsidRPr="00C9671E" w14:paraId="244F53DB" w14:textId="77777777" w:rsidTr="006E4EB0">
        <w:trPr>
          <w:trHeight w:val="120"/>
        </w:trPr>
        <w:tc>
          <w:tcPr>
            <w:tcW w:w="598" w:type="dxa"/>
            <w:tcBorders>
              <w:top w:val="nil"/>
              <w:left w:val="nil"/>
              <w:bottom w:val="nil"/>
              <w:right w:val="nil"/>
            </w:tcBorders>
          </w:tcPr>
          <w:p w14:paraId="32D8CE32"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426B2AA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 недостапно</w:t>
            </w:r>
          </w:p>
        </w:tc>
      </w:tr>
      <w:tr w:rsidR="003D4454" w:rsidRPr="00C9671E" w14:paraId="27B168E9" w14:textId="77777777" w:rsidTr="006E4EB0">
        <w:trPr>
          <w:trHeight w:val="120"/>
        </w:trPr>
        <w:tc>
          <w:tcPr>
            <w:tcW w:w="598" w:type="dxa"/>
            <w:tcBorders>
              <w:top w:val="nil"/>
              <w:left w:val="nil"/>
              <w:bottom w:val="nil"/>
              <w:right w:val="nil"/>
            </w:tcBorders>
          </w:tcPr>
          <w:p w14:paraId="1250CB9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409ED07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b = прекин во серија</w:t>
            </w:r>
          </w:p>
        </w:tc>
      </w:tr>
      <w:tr w:rsidR="003D4454" w:rsidRPr="00C9671E" w14:paraId="57ABDCF2" w14:textId="77777777" w:rsidTr="006E4EB0">
        <w:trPr>
          <w:trHeight w:val="120"/>
        </w:trPr>
        <w:tc>
          <w:tcPr>
            <w:tcW w:w="598" w:type="dxa"/>
            <w:tcBorders>
              <w:top w:val="nil"/>
              <w:left w:val="nil"/>
              <w:bottom w:val="nil"/>
              <w:right w:val="nil"/>
            </w:tcBorders>
          </w:tcPr>
          <w:p w14:paraId="5C12852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4D8A8F64"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d =дефиницијата се разликува</w:t>
            </w:r>
          </w:p>
        </w:tc>
      </w:tr>
      <w:tr w:rsidR="003D4454" w:rsidRPr="00C9671E" w14:paraId="7AD5770B" w14:textId="77777777" w:rsidTr="006E4EB0">
        <w:trPr>
          <w:trHeight w:val="120"/>
        </w:trPr>
        <w:tc>
          <w:tcPr>
            <w:tcW w:w="598" w:type="dxa"/>
            <w:tcBorders>
              <w:top w:val="nil"/>
              <w:left w:val="nil"/>
              <w:bottom w:val="nil"/>
              <w:right w:val="nil"/>
            </w:tcBorders>
          </w:tcPr>
          <w:p w14:paraId="7748262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25EC71C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e = процена</w:t>
            </w:r>
          </w:p>
        </w:tc>
      </w:tr>
      <w:tr w:rsidR="003D4454" w:rsidRPr="00C9671E" w14:paraId="0716166E" w14:textId="77777777" w:rsidTr="006E4EB0">
        <w:trPr>
          <w:trHeight w:val="120"/>
        </w:trPr>
        <w:tc>
          <w:tcPr>
            <w:tcW w:w="598" w:type="dxa"/>
            <w:tcBorders>
              <w:top w:val="nil"/>
              <w:left w:val="nil"/>
              <w:bottom w:val="nil"/>
              <w:right w:val="nil"/>
            </w:tcBorders>
          </w:tcPr>
          <w:p w14:paraId="6A44D11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6D162F00"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p = провизорно</w:t>
            </w:r>
          </w:p>
        </w:tc>
      </w:tr>
      <w:tr w:rsidR="003D4454" w:rsidRPr="00C9671E" w14:paraId="66D68844" w14:textId="77777777" w:rsidTr="006E4EB0">
        <w:trPr>
          <w:trHeight w:val="120"/>
        </w:trPr>
        <w:tc>
          <w:tcPr>
            <w:tcW w:w="598" w:type="dxa"/>
            <w:tcBorders>
              <w:top w:val="nil"/>
              <w:left w:val="nil"/>
              <w:bottom w:val="nil"/>
              <w:right w:val="nil"/>
            </w:tcBorders>
          </w:tcPr>
          <w:p w14:paraId="75671E2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0FFC8DBF"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s = процена на Евростат</w:t>
            </w:r>
          </w:p>
        </w:tc>
      </w:tr>
      <w:tr w:rsidR="003D4454" w:rsidRPr="00C9671E" w14:paraId="7A7A952E" w14:textId="77777777" w:rsidTr="006E4EB0">
        <w:trPr>
          <w:trHeight w:val="240"/>
        </w:trPr>
        <w:tc>
          <w:tcPr>
            <w:tcW w:w="598" w:type="dxa"/>
            <w:tcBorders>
              <w:top w:val="nil"/>
              <w:left w:val="nil"/>
              <w:bottom w:val="nil"/>
              <w:right w:val="nil"/>
            </w:tcBorders>
          </w:tcPr>
          <w:p w14:paraId="4F36752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7739ABA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w = податоци доставени од и под одговорност на националниот статистички орган и објавени на основа „како што е“ и без никакво уверување во однос на нивниот квалитет и придржувањето кон статистичката методологија на ЕУ</w:t>
            </w:r>
          </w:p>
        </w:tc>
      </w:tr>
      <w:tr w:rsidR="003D4454" w:rsidRPr="00C9671E" w14:paraId="3A5A1949" w14:textId="77777777" w:rsidTr="006E4EB0">
        <w:trPr>
          <w:trHeight w:val="120"/>
        </w:trPr>
        <w:tc>
          <w:tcPr>
            <w:tcW w:w="598" w:type="dxa"/>
            <w:tcBorders>
              <w:top w:val="nil"/>
              <w:left w:val="nil"/>
              <w:bottom w:val="nil"/>
              <w:right w:val="nil"/>
            </w:tcBorders>
          </w:tcPr>
          <w:p w14:paraId="4BBA0769"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3ABB312B"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 индикатор Европа 2020</w:t>
            </w:r>
          </w:p>
        </w:tc>
      </w:tr>
      <w:tr w:rsidR="003D4454" w:rsidRPr="00C9671E" w14:paraId="32955823" w14:textId="77777777" w:rsidTr="006E4EB0">
        <w:trPr>
          <w:trHeight w:val="120"/>
        </w:trPr>
        <w:tc>
          <w:tcPr>
            <w:tcW w:w="598" w:type="dxa"/>
            <w:tcBorders>
              <w:top w:val="nil"/>
              <w:left w:val="nil"/>
              <w:bottom w:val="nil"/>
              <w:right w:val="nil"/>
            </w:tcBorders>
          </w:tcPr>
          <w:p w14:paraId="2D88D71E"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75B16C51"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 = индикатор на Постапката за макроекономски дисбаланс (ПМД)</w:t>
            </w:r>
          </w:p>
        </w:tc>
      </w:tr>
      <w:tr w:rsidR="003D4454" w:rsidRPr="00C9671E" w14:paraId="07F7F75D" w14:textId="77777777" w:rsidTr="006E4EB0">
        <w:trPr>
          <w:trHeight w:val="120"/>
        </w:trPr>
        <w:tc>
          <w:tcPr>
            <w:tcW w:w="598" w:type="dxa"/>
            <w:tcBorders>
              <w:top w:val="nil"/>
              <w:left w:val="nil"/>
              <w:bottom w:val="nil"/>
              <w:right w:val="nil"/>
            </w:tcBorders>
          </w:tcPr>
          <w:p w14:paraId="2663022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3F57021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r>
      <w:tr w:rsidR="003D4454" w:rsidRPr="00C9671E" w14:paraId="290C626E" w14:textId="77777777" w:rsidTr="006E4EB0">
        <w:trPr>
          <w:trHeight w:val="120"/>
        </w:trPr>
        <w:tc>
          <w:tcPr>
            <w:tcW w:w="598" w:type="dxa"/>
            <w:tcBorders>
              <w:top w:val="nil"/>
              <w:left w:val="nil"/>
              <w:bottom w:val="nil"/>
              <w:right w:val="nil"/>
            </w:tcBorders>
          </w:tcPr>
          <w:p w14:paraId="4ED95771"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lang w:eastAsia="en-IE"/>
              </w:rPr>
            </w:pPr>
          </w:p>
        </w:tc>
        <w:tc>
          <w:tcPr>
            <w:tcW w:w="12757" w:type="dxa"/>
            <w:tcBorders>
              <w:top w:val="nil"/>
              <w:left w:val="nil"/>
              <w:bottom w:val="nil"/>
              <w:right w:val="nil"/>
            </w:tcBorders>
          </w:tcPr>
          <w:p w14:paraId="02FC6DC9"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Фусноти:</w:t>
            </w:r>
          </w:p>
        </w:tc>
      </w:tr>
      <w:tr w:rsidR="003D4454" w:rsidRPr="00C9671E" w14:paraId="59741CD7" w14:textId="77777777" w:rsidTr="006E4EB0">
        <w:trPr>
          <w:trHeight w:val="240"/>
        </w:trPr>
        <w:tc>
          <w:tcPr>
            <w:tcW w:w="598" w:type="dxa"/>
            <w:tcBorders>
              <w:top w:val="nil"/>
              <w:left w:val="nil"/>
              <w:bottom w:val="nil"/>
              <w:right w:val="nil"/>
            </w:tcBorders>
          </w:tcPr>
          <w:p w14:paraId="5B28E875"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1)</w:t>
            </w:r>
          </w:p>
        </w:tc>
        <w:tc>
          <w:tcPr>
            <w:tcW w:w="12757" w:type="dxa"/>
            <w:tcBorders>
              <w:top w:val="nil"/>
              <w:left w:val="nil"/>
              <w:bottom w:val="nil"/>
              <w:right w:val="nil"/>
            </w:tcBorders>
          </w:tcPr>
          <w:p w14:paraId="4B6AC0D2"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Податоците се усогласени со површината во Регистарот на територијални единици што го води Агенцијата за катастар на недвижности, како официјален извор за површините на територијалните единици во државата.</w:t>
            </w:r>
          </w:p>
        </w:tc>
      </w:tr>
      <w:tr w:rsidR="003D4454" w:rsidRPr="00C9671E" w14:paraId="186F2B3E" w14:textId="77777777" w:rsidTr="006E4EB0">
        <w:trPr>
          <w:trHeight w:val="120"/>
        </w:trPr>
        <w:tc>
          <w:tcPr>
            <w:tcW w:w="598" w:type="dxa"/>
            <w:tcBorders>
              <w:top w:val="nil"/>
              <w:left w:val="nil"/>
              <w:bottom w:val="nil"/>
              <w:right w:val="nil"/>
            </w:tcBorders>
          </w:tcPr>
          <w:p w14:paraId="56835B2A"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2)</w:t>
            </w:r>
          </w:p>
        </w:tc>
        <w:tc>
          <w:tcPr>
            <w:tcW w:w="12757" w:type="dxa"/>
            <w:tcBorders>
              <w:top w:val="nil"/>
              <w:left w:val="nil"/>
              <w:bottom w:val="nil"/>
              <w:right w:val="nil"/>
            </w:tcBorders>
          </w:tcPr>
          <w:p w14:paraId="084D4C27"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Од 2009 година: составено во согласност со Прирачникот за монетарна и финансиска статистика на ММФ и Водичот за составување, 2016 година.</w:t>
            </w:r>
          </w:p>
        </w:tc>
      </w:tr>
      <w:tr w:rsidR="003D4454" w:rsidRPr="00C9671E" w14:paraId="2E9FF3A2" w14:textId="77777777" w:rsidTr="006E4EB0">
        <w:trPr>
          <w:trHeight w:val="120"/>
        </w:trPr>
        <w:tc>
          <w:tcPr>
            <w:tcW w:w="598" w:type="dxa"/>
            <w:tcBorders>
              <w:top w:val="nil"/>
              <w:left w:val="nil"/>
              <w:bottom w:val="nil"/>
              <w:right w:val="nil"/>
            </w:tcBorders>
          </w:tcPr>
          <w:p w14:paraId="7BDAB067"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3)</w:t>
            </w:r>
          </w:p>
        </w:tc>
        <w:tc>
          <w:tcPr>
            <w:tcW w:w="12757" w:type="dxa"/>
            <w:tcBorders>
              <w:top w:val="nil"/>
              <w:left w:val="nil"/>
              <w:bottom w:val="nil"/>
              <w:right w:val="nil"/>
            </w:tcBorders>
          </w:tcPr>
          <w:p w14:paraId="0FAE592E"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Податоците опфаќаат билатерални трансакции преку ноќ. Каматните стапки се пресметуваат како пондериран просек.</w:t>
            </w:r>
          </w:p>
        </w:tc>
      </w:tr>
      <w:tr w:rsidR="003D4454" w:rsidRPr="00C9671E" w14:paraId="0ACD4EFB" w14:textId="77777777" w:rsidTr="006E4EB0">
        <w:trPr>
          <w:trHeight w:val="120"/>
        </w:trPr>
        <w:tc>
          <w:tcPr>
            <w:tcW w:w="598" w:type="dxa"/>
            <w:tcBorders>
              <w:top w:val="nil"/>
              <w:left w:val="nil"/>
              <w:bottom w:val="nil"/>
              <w:right w:val="nil"/>
            </w:tcBorders>
          </w:tcPr>
          <w:p w14:paraId="495250FD"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4)</w:t>
            </w:r>
          </w:p>
        </w:tc>
        <w:tc>
          <w:tcPr>
            <w:tcW w:w="12757" w:type="dxa"/>
            <w:tcBorders>
              <w:top w:val="nil"/>
              <w:left w:val="nil"/>
              <w:bottom w:val="nil"/>
              <w:right w:val="nil"/>
            </w:tcBorders>
          </w:tcPr>
          <w:p w14:paraId="75F9CA28"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Крај на годината (31 декември).</w:t>
            </w:r>
          </w:p>
        </w:tc>
      </w:tr>
      <w:tr w:rsidR="003D4454" w:rsidRPr="00C9671E" w14:paraId="599D92FF" w14:textId="77777777" w:rsidTr="006E4EB0">
        <w:trPr>
          <w:trHeight w:val="120"/>
        </w:trPr>
        <w:tc>
          <w:tcPr>
            <w:tcW w:w="598" w:type="dxa"/>
            <w:tcBorders>
              <w:top w:val="nil"/>
              <w:left w:val="nil"/>
              <w:bottom w:val="nil"/>
              <w:right w:val="nil"/>
            </w:tcBorders>
          </w:tcPr>
          <w:p w14:paraId="015B9CC6"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5)</w:t>
            </w:r>
          </w:p>
        </w:tc>
        <w:tc>
          <w:tcPr>
            <w:tcW w:w="12757" w:type="dxa"/>
            <w:tcBorders>
              <w:top w:val="nil"/>
              <w:left w:val="nil"/>
              <w:bottom w:val="nil"/>
              <w:right w:val="nil"/>
            </w:tcBorders>
          </w:tcPr>
          <w:p w14:paraId="329A042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Ласперов индекс на единична вредност 2015 = 100.</w:t>
            </w:r>
          </w:p>
        </w:tc>
      </w:tr>
      <w:tr w:rsidR="003D4454" w:rsidRPr="00C9671E" w14:paraId="67F3EA17" w14:textId="77777777" w:rsidTr="006E4EB0">
        <w:trPr>
          <w:trHeight w:val="120"/>
        </w:trPr>
        <w:tc>
          <w:tcPr>
            <w:tcW w:w="598" w:type="dxa"/>
            <w:tcBorders>
              <w:top w:val="nil"/>
              <w:left w:val="nil"/>
              <w:bottom w:val="nil"/>
              <w:right w:val="nil"/>
            </w:tcBorders>
          </w:tcPr>
          <w:p w14:paraId="0D1D35A4"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6)</w:t>
            </w:r>
          </w:p>
        </w:tc>
        <w:tc>
          <w:tcPr>
            <w:tcW w:w="12757" w:type="dxa"/>
            <w:tcBorders>
              <w:top w:val="nil"/>
              <w:left w:val="nil"/>
              <w:bottom w:val="nil"/>
              <w:right w:val="nil"/>
            </w:tcBorders>
          </w:tcPr>
          <w:p w14:paraId="349F8D13"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Во јавниот сектор се вклучени податоци: друго (мешано, колективно, државно, недефинирано).</w:t>
            </w:r>
          </w:p>
        </w:tc>
      </w:tr>
      <w:tr w:rsidR="003D4454" w:rsidRPr="00C9671E" w14:paraId="5B2861D9" w14:textId="77777777" w:rsidTr="006E4EB0">
        <w:trPr>
          <w:trHeight w:val="120"/>
        </w:trPr>
        <w:tc>
          <w:tcPr>
            <w:tcW w:w="598" w:type="dxa"/>
            <w:tcBorders>
              <w:top w:val="nil"/>
              <w:left w:val="nil"/>
              <w:bottom w:val="nil"/>
              <w:right w:val="nil"/>
            </w:tcBorders>
          </w:tcPr>
          <w:p w14:paraId="13686C8B"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7)</w:t>
            </w:r>
          </w:p>
        </w:tc>
        <w:tc>
          <w:tcPr>
            <w:tcW w:w="12757" w:type="dxa"/>
            <w:tcBorders>
              <w:top w:val="nil"/>
              <w:left w:val="nil"/>
              <w:bottom w:val="nil"/>
              <w:right w:val="nil"/>
            </w:tcBorders>
          </w:tcPr>
          <w:p w14:paraId="2818D176"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Извор: Агенција за електронски комуникации (АЕК).</w:t>
            </w:r>
          </w:p>
        </w:tc>
      </w:tr>
      <w:tr w:rsidR="003D4454" w:rsidRPr="00C9671E" w14:paraId="501CEA67" w14:textId="77777777" w:rsidTr="006E4EB0">
        <w:trPr>
          <w:trHeight w:val="120"/>
        </w:trPr>
        <w:tc>
          <w:tcPr>
            <w:tcW w:w="598" w:type="dxa"/>
            <w:tcBorders>
              <w:top w:val="nil"/>
              <w:left w:val="nil"/>
              <w:bottom w:val="nil"/>
              <w:right w:val="nil"/>
            </w:tcBorders>
          </w:tcPr>
          <w:p w14:paraId="373EB4B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8)</w:t>
            </w:r>
          </w:p>
        </w:tc>
        <w:tc>
          <w:tcPr>
            <w:tcW w:w="12757" w:type="dxa"/>
            <w:tcBorders>
              <w:top w:val="nil"/>
              <w:left w:val="nil"/>
              <w:bottom w:val="nil"/>
              <w:right w:val="nil"/>
            </w:tcBorders>
          </w:tcPr>
          <w:p w14:paraId="7BA6FBF5"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Вкупни расходи за истражување и развој објавени во статистичките прегледи за активноста на истражување и развој.</w:t>
            </w:r>
          </w:p>
        </w:tc>
      </w:tr>
      <w:tr w:rsidR="003D4454" w:rsidRPr="00C9671E" w14:paraId="5B3E17E2" w14:textId="77777777" w:rsidTr="006E4EB0">
        <w:trPr>
          <w:trHeight w:val="120"/>
        </w:trPr>
        <w:tc>
          <w:tcPr>
            <w:tcW w:w="598" w:type="dxa"/>
            <w:tcBorders>
              <w:top w:val="nil"/>
              <w:left w:val="nil"/>
              <w:bottom w:val="nil"/>
              <w:right w:val="nil"/>
            </w:tcBorders>
          </w:tcPr>
          <w:p w14:paraId="005949C3" w14:textId="77777777" w:rsidR="003D4454" w:rsidRPr="00C9671E" w:rsidRDefault="003D4454" w:rsidP="006E4EB0">
            <w:pPr>
              <w:autoSpaceDE w:val="0"/>
              <w:autoSpaceDN w:val="0"/>
              <w:adjustRightInd w:val="0"/>
              <w:spacing w:before="120" w:after="120" w:line="240" w:lineRule="auto"/>
              <w:jc w:val="right"/>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9)</w:t>
            </w:r>
          </w:p>
        </w:tc>
        <w:tc>
          <w:tcPr>
            <w:tcW w:w="12757" w:type="dxa"/>
            <w:tcBorders>
              <w:top w:val="nil"/>
              <w:left w:val="nil"/>
              <w:bottom w:val="nil"/>
              <w:right w:val="nil"/>
            </w:tcBorders>
          </w:tcPr>
          <w:p w14:paraId="7C6F773B" w14:textId="77777777" w:rsidR="003D4454" w:rsidRPr="00C9671E" w:rsidRDefault="003D4454" w:rsidP="006E4EB0">
            <w:pPr>
              <w:autoSpaceDE w:val="0"/>
              <w:autoSpaceDN w:val="0"/>
              <w:adjustRightInd w:val="0"/>
              <w:spacing w:before="120" w:after="120" w:line="240" w:lineRule="auto"/>
              <w:rPr>
                <w:rFonts w:ascii="Times New Roman" w:hAnsi="Times New Roman" w:cs="Times New Roman"/>
                <w:noProof/>
                <w:color w:val="000000"/>
                <w:sz w:val="24"/>
                <w:szCs w:val="24"/>
              </w:rPr>
            </w:pPr>
            <w:r w:rsidRPr="00C9671E">
              <w:rPr>
                <w:rFonts w:ascii="Times New Roman" w:hAnsi="Times New Roman" w:cs="Times New Roman"/>
                <w:color w:val="000000"/>
                <w:sz w:val="24"/>
                <w:szCs w:val="24"/>
              </w:rPr>
              <w:t>Дел од инвентарот на стакленички гасови, подготвен во контекст на Четвртата национална комуникација (УНФЦЦЦ).</w:t>
            </w:r>
          </w:p>
        </w:tc>
      </w:tr>
    </w:tbl>
    <w:p w14:paraId="353BF7E3" w14:textId="77777777" w:rsidR="00A50BBD" w:rsidRPr="00C9671E" w:rsidRDefault="00A50BBD" w:rsidP="0012222D">
      <w:pPr>
        <w:spacing w:after="120" w:line="240" w:lineRule="auto"/>
        <w:jc w:val="both"/>
        <w:rPr>
          <w:rFonts w:ascii="Times New Roman" w:hAnsi="Times New Roman" w:cs="Times New Roman"/>
          <w:sz w:val="24"/>
          <w:szCs w:val="24"/>
        </w:rPr>
      </w:pPr>
    </w:p>
    <w:sectPr w:rsidR="00A50BBD" w:rsidRPr="00C9671E" w:rsidSect="00ED4D63">
      <w:pgSz w:w="16838" w:h="11906" w:orient="landscape"/>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24F6" w14:textId="77777777" w:rsidR="006819CD" w:rsidRDefault="006819CD" w:rsidP="0080081E">
      <w:pPr>
        <w:spacing w:after="0" w:line="240" w:lineRule="auto"/>
      </w:pPr>
      <w:r>
        <w:separator/>
      </w:r>
    </w:p>
  </w:endnote>
  <w:endnote w:type="continuationSeparator" w:id="0">
    <w:p w14:paraId="7E62C01D" w14:textId="77777777" w:rsidR="006819CD" w:rsidRDefault="006819CD" w:rsidP="0080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51AAA" w14:textId="77777777" w:rsidR="00484095" w:rsidRDefault="00484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475BC" w14:textId="77777777" w:rsidR="000E0AE9" w:rsidRPr="00C702DC" w:rsidRDefault="000E0AE9">
    <w:pPr>
      <w:pStyle w:val="Footer"/>
      <w:jc w:val="center"/>
      <w:rPr>
        <w:rFonts w:ascii="Times New Roman" w:hAnsi="Times New Roman" w:cs="Times New Roman"/>
      </w:rPr>
    </w:pPr>
    <w:r w:rsidRPr="00C702DC">
      <w:rPr>
        <w:rFonts w:ascii="Times New Roman" w:hAnsi="Times New Roman" w:cs="Times New Roman"/>
      </w:rPr>
      <w:fldChar w:fldCharType="begin"/>
    </w:r>
    <w:r w:rsidRPr="00C702DC">
      <w:rPr>
        <w:rFonts w:ascii="Times New Roman" w:hAnsi="Times New Roman" w:cs="Times New Roman"/>
      </w:rPr>
      <w:instrText>PAGE   \* MERGEFORMAT</w:instrText>
    </w:r>
    <w:r w:rsidRPr="00C702DC">
      <w:rPr>
        <w:rFonts w:ascii="Times New Roman" w:hAnsi="Times New Roman" w:cs="Times New Roman"/>
      </w:rPr>
      <w:fldChar w:fldCharType="separate"/>
    </w:r>
    <w:r w:rsidR="00C2520C" w:rsidRPr="00C2520C">
      <w:rPr>
        <w:rFonts w:ascii="Times New Roman" w:hAnsi="Times New Roman" w:cs="Times New Roman"/>
        <w:noProof/>
        <w:lang w:val="de-DE"/>
      </w:rPr>
      <w:t>73</w:t>
    </w:r>
    <w:r w:rsidRPr="00C702DC">
      <w:rPr>
        <w:rFonts w:ascii="Times New Roman" w:hAnsi="Times New Roman" w:cs="Times New Roman"/>
      </w:rPr>
      <w:fldChar w:fldCharType="end"/>
    </w:r>
  </w:p>
  <w:p w14:paraId="44859393" w14:textId="77777777" w:rsidR="000E0AE9" w:rsidRDefault="000E0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7ED37" w14:textId="77777777" w:rsidR="00484095" w:rsidRDefault="00484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09D0C" w14:textId="77777777" w:rsidR="006819CD" w:rsidRDefault="006819CD" w:rsidP="0080081E">
      <w:pPr>
        <w:spacing w:after="0" w:line="240" w:lineRule="auto"/>
      </w:pPr>
      <w:r>
        <w:separator/>
      </w:r>
    </w:p>
  </w:footnote>
  <w:footnote w:type="continuationSeparator" w:id="0">
    <w:p w14:paraId="44AA94FC" w14:textId="77777777" w:rsidR="006819CD" w:rsidRDefault="006819CD" w:rsidP="0080081E">
      <w:pPr>
        <w:spacing w:after="0" w:line="240" w:lineRule="auto"/>
      </w:pPr>
      <w:r>
        <w:continuationSeparator/>
      </w:r>
    </w:p>
  </w:footnote>
  <w:footnote w:id="1">
    <w:p w14:paraId="75C95C46" w14:textId="77777777" w:rsidR="000E0AE9" w:rsidRPr="00823DC0" w:rsidRDefault="000E0AE9" w:rsidP="00131338">
      <w:pPr>
        <w:pStyle w:val="FootnoteText"/>
        <w:rPr>
          <w:rFonts w:ascii="Times New Roman" w:hAnsi="Times New Roman" w:cs="Times New Roman"/>
          <w:lang w:val="fr-BE"/>
        </w:rPr>
      </w:pPr>
      <w:r w:rsidRPr="00823DC0">
        <w:rPr>
          <w:rStyle w:val="FootnoteReference"/>
          <w:rFonts w:ascii="Times New Roman" w:hAnsi="Times New Roman" w:cs="Times New Roman"/>
        </w:rPr>
        <w:footnoteRef/>
      </w:r>
      <w:r>
        <w:t xml:space="preserve"> </w:t>
      </w:r>
      <w:hyperlink r:id="rId1">
        <w:r w:rsidRPr="00823DC0">
          <w:rPr>
            <w:rStyle w:val="Hyperlink"/>
            <w:rFonts w:ascii="Times New Roman" w:hAnsi="Times New Roman" w:cs="Times New Roman"/>
          </w:rPr>
          <w:t>https://www.consilium.europa.eu/media/43076/26-vc-euco-statement-en.pdf</w:t>
        </w:r>
      </w:hyperlink>
    </w:p>
  </w:footnote>
  <w:footnote w:id="2">
    <w:p w14:paraId="48E5D2C7" w14:textId="77777777" w:rsidR="000E0AE9" w:rsidRPr="00823DC0" w:rsidRDefault="000E0AE9" w:rsidP="00131338">
      <w:pPr>
        <w:pStyle w:val="FootnoteText"/>
        <w:jc w:val="both"/>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823DC0">
        <w:rPr>
          <w:rFonts w:ascii="Times New Roman" w:hAnsi="Times New Roman" w:cs="Times New Roman"/>
        </w:rPr>
        <w:t>Овој</w:t>
      </w:r>
      <w:r>
        <w:rPr>
          <w:rFonts w:ascii="Times New Roman" w:hAnsi="Times New Roman" w:cs="Times New Roman"/>
        </w:rPr>
        <w:t xml:space="preserve"> </w:t>
      </w:r>
      <w:r w:rsidRPr="00823DC0">
        <w:rPr>
          <w:rFonts w:ascii="Times New Roman" w:hAnsi="Times New Roman" w:cs="Times New Roman"/>
        </w:rPr>
        <w:t>извештај</w:t>
      </w:r>
      <w:r>
        <w:rPr>
          <w:rFonts w:ascii="Times New Roman" w:hAnsi="Times New Roman" w:cs="Times New Roman"/>
        </w:rPr>
        <w:t xml:space="preserve"> </w:t>
      </w:r>
      <w:r w:rsidRPr="00823DC0">
        <w:rPr>
          <w:rFonts w:ascii="Times New Roman" w:hAnsi="Times New Roman" w:cs="Times New Roman"/>
        </w:rPr>
        <w:t>го</w:t>
      </w:r>
      <w:r>
        <w:rPr>
          <w:rFonts w:ascii="Times New Roman" w:hAnsi="Times New Roman" w:cs="Times New Roman"/>
        </w:rPr>
        <w:t xml:space="preserve"> </w:t>
      </w:r>
      <w:r w:rsidRPr="00823DC0">
        <w:rPr>
          <w:rFonts w:ascii="Times New Roman" w:hAnsi="Times New Roman" w:cs="Times New Roman"/>
        </w:rPr>
        <w:t>опфаќа</w:t>
      </w:r>
      <w:r>
        <w:rPr>
          <w:rFonts w:ascii="Times New Roman" w:hAnsi="Times New Roman" w:cs="Times New Roman"/>
        </w:rPr>
        <w:t xml:space="preserve"> </w:t>
      </w:r>
      <w:r w:rsidRPr="00823DC0">
        <w:rPr>
          <w:rFonts w:ascii="Times New Roman" w:hAnsi="Times New Roman" w:cs="Times New Roman"/>
        </w:rPr>
        <w:t>периодот</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јуни</w:t>
      </w:r>
      <w:r>
        <w:rPr>
          <w:rFonts w:ascii="Times New Roman" w:hAnsi="Times New Roman" w:cs="Times New Roman"/>
        </w:rPr>
        <w:t xml:space="preserve"> </w:t>
      </w:r>
      <w:r w:rsidRPr="00823DC0">
        <w:rPr>
          <w:rFonts w:ascii="Times New Roman" w:hAnsi="Times New Roman" w:cs="Times New Roman"/>
        </w:rPr>
        <w:t>2021</w:t>
      </w:r>
      <w:r>
        <w:rPr>
          <w:rFonts w:ascii="Times New Roman" w:hAnsi="Times New Roman" w:cs="Times New Roman"/>
        </w:rPr>
        <w:t xml:space="preserve"> </w:t>
      </w:r>
      <w:r w:rsidRPr="00823DC0">
        <w:rPr>
          <w:rFonts w:ascii="Times New Roman" w:hAnsi="Times New Roman" w:cs="Times New Roman"/>
        </w:rPr>
        <w:t>година</w:t>
      </w:r>
      <w:r>
        <w:rPr>
          <w:rFonts w:ascii="Times New Roman" w:hAnsi="Times New Roman" w:cs="Times New Roman"/>
        </w:rPr>
        <w:t xml:space="preserve"> </w:t>
      </w:r>
      <w:r w:rsidRPr="00823DC0">
        <w:rPr>
          <w:rFonts w:ascii="Times New Roman" w:hAnsi="Times New Roman" w:cs="Times New Roman"/>
        </w:rPr>
        <w:t>до</w:t>
      </w:r>
      <w:r>
        <w:rPr>
          <w:rFonts w:ascii="Times New Roman" w:hAnsi="Times New Roman" w:cs="Times New Roman"/>
        </w:rPr>
        <w:t xml:space="preserve"> </w:t>
      </w:r>
      <w:r w:rsidRPr="00823DC0">
        <w:rPr>
          <w:rFonts w:ascii="Times New Roman" w:hAnsi="Times New Roman" w:cs="Times New Roman"/>
        </w:rPr>
        <w:t>јули</w:t>
      </w:r>
      <w:r>
        <w:rPr>
          <w:rFonts w:ascii="Times New Roman" w:hAnsi="Times New Roman" w:cs="Times New Roman"/>
        </w:rPr>
        <w:t xml:space="preserve"> </w:t>
      </w:r>
      <w:r w:rsidRPr="00823DC0">
        <w:rPr>
          <w:rFonts w:ascii="Times New Roman" w:hAnsi="Times New Roman" w:cs="Times New Roman"/>
        </w:rPr>
        <w:t>2022</w:t>
      </w:r>
      <w:r>
        <w:rPr>
          <w:rFonts w:ascii="Times New Roman" w:hAnsi="Times New Roman" w:cs="Times New Roman"/>
        </w:rPr>
        <w:t xml:space="preserve"> </w:t>
      </w:r>
      <w:r w:rsidRPr="00823DC0">
        <w:rPr>
          <w:rFonts w:ascii="Times New Roman" w:hAnsi="Times New Roman" w:cs="Times New Roman"/>
        </w:rPr>
        <w:t>година.</w:t>
      </w:r>
      <w:r>
        <w:rPr>
          <w:rFonts w:ascii="Times New Roman" w:hAnsi="Times New Roman" w:cs="Times New Roman"/>
        </w:rPr>
        <w:t xml:space="preserve"> </w:t>
      </w:r>
      <w:r w:rsidRPr="00823DC0">
        <w:rPr>
          <w:rFonts w:ascii="Times New Roman" w:hAnsi="Times New Roman" w:cs="Times New Roman"/>
        </w:rPr>
        <w:t>Истиот</w:t>
      </w:r>
      <w:r>
        <w:rPr>
          <w:rFonts w:ascii="Times New Roman" w:hAnsi="Times New Roman" w:cs="Times New Roman"/>
        </w:rPr>
        <w:t xml:space="preserve"> </w:t>
      </w:r>
      <w:r w:rsidRPr="00823DC0">
        <w:rPr>
          <w:rFonts w:ascii="Times New Roman" w:hAnsi="Times New Roman" w:cs="Times New Roman"/>
        </w:rPr>
        <w:t>се</w:t>
      </w:r>
      <w:r>
        <w:rPr>
          <w:rFonts w:ascii="Times New Roman" w:hAnsi="Times New Roman" w:cs="Times New Roman"/>
        </w:rPr>
        <w:t xml:space="preserve"> </w:t>
      </w:r>
      <w:r w:rsidRPr="00823DC0">
        <w:rPr>
          <w:rFonts w:ascii="Times New Roman" w:hAnsi="Times New Roman" w:cs="Times New Roman"/>
        </w:rPr>
        <w:t>заснова</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придонес</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различни</w:t>
      </w:r>
      <w:r>
        <w:rPr>
          <w:rFonts w:ascii="Times New Roman" w:hAnsi="Times New Roman" w:cs="Times New Roman"/>
        </w:rPr>
        <w:t xml:space="preserve"> </w:t>
      </w:r>
      <w:r w:rsidRPr="00823DC0">
        <w:rPr>
          <w:rFonts w:ascii="Times New Roman" w:hAnsi="Times New Roman" w:cs="Times New Roman"/>
        </w:rPr>
        <w:t>извори,</w:t>
      </w:r>
      <w:r>
        <w:rPr>
          <w:rFonts w:ascii="Times New Roman" w:hAnsi="Times New Roman" w:cs="Times New Roman"/>
        </w:rPr>
        <w:t xml:space="preserve"> </w:t>
      </w:r>
      <w:r w:rsidRPr="00823DC0">
        <w:rPr>
          <w:rFonts w:ascii="Times New Roman" w:hAnsi="Times New Roman" w:cs="Times New Roman"/>
        </w:rPr>
        <w:t>вклучувајќи</w:t>
      </w:r>
      <w:r>
        <w:rPr>
          <w:rFonts w:ascii="Times New Roman" w:hAnsi="Times New Roman" w:cs="Times New Roman"/>
        </w:rPr>
        <w:t xml:space="preserve"> </w:t>
      </w:r>
      <w:r w:rsidRPr="00823DC0">
        <w:rPr>
          <w:rFonts w:ascii="Times New Roman" w:hAnsi="Times New Roman" w:cs="Times New Roman"/>
        </w:rPr>
        <w:t>ги</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придонесите</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Владата</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Северна</w:t>
      </w:r>
      <w:r>
        <w:rPr>
          <w:rFonts w:ascii="Times New Roman" w:hAnsi="Times New Roman" w:cs="Times New Roman"/>
        </w:rPr>
        <w:t xml:space="preserve"> </w:t>
      </w:r>
      <w:r w:rsidRPr="00823DC0">
        <w:rPr>
          <w:rFonts w:ascii="Times New Roman" w:hAnsi="Times New Roman" w:cs="Times New Roman"/>
        </w:rPr>
        <w:t>Македонија,</w:t>
      </w:r>
      <w:r>
        <w:rPr>
          <w:rFonts w:ascii="Times New Roman" w:hAnsi="Times New Roman" w:cs="Times New Roman"/>
        </w:rPr>
        <w:t xml:space="preserve"> </w:t>
      </w:r>
      <w:r w:rsidRPr="00823DC0">
        <w:rPr>
          <w:rFonts w:ascii="Times New Roman" w:hAnsi="Times New Roman" w:cs="Times New Roman"/>
        </w:rPr>
        <w:t>земјите</w:t>
      </w:r>
      <w:r>
        <w:rPr>
          <w:rFonts w:ascii="Times New Roman" w:hAnsi="Times New Roman" w:cs="Times New Roman"/>
        </w:rPr>
        <w:t xml:space="preserve"> </w:t>
      </w:r>
      <w:r w:rsidRPr="00823DC0">
        <w:rPr>
          <w:rFonts w:ascii="Times New Roman" w:hAnsi="Times New Roman" w:cs="Times New Roman"/>
        </w:rPr>
        <w:t>членки</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ЕУ,</w:t>
      </w:r>
      <w:r>
        <w:rPr>
          <w:rFonts w:ascii="Times New Roman" w:hAnsi="Times New Roman" w:cs="Times New Roman"/>
        </w:rPr>
        <w:t xml:space="preserve"> </w:t>
      </w:r>
      <w:r w:rsidRPr="00823DC0">
        <w:rPr>
          <w:rFonts w:ascii="Times New Roman" w:hAnsi="Times New Roman" w:cs="Times New Roman"/>
        </w:rPr>
        <w:t>извештаите</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Европскиот</w:t>
      </w:r>
      <w:r>
        <w:rPr>
          <w:rFonts w:ascii="Times New Roman" w:hAnsi="Times New Roman" w:cs="Times New Roman"/>
        </w:rPr>
        <w:t xml:space="preserve"> </w:t>
      </w:r>
      <w:r w:rsidRPr="00823DC0">
        <w:rPr>
          <w:rFonts w:ascii="Times New Roman" w:hAnsi="Times New Roman" w:cs="Times New Roman"/>
        </w:rPr>
        <w:t>парламент</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информациите</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различни</w:t>
      </w:r>
      <w:r>
        <w:rPr>
          <w:rFonts w:ascii="Times New Roman" w:hAnsi="Times New Roman" w:cs="Times New Roman"/>
        </w:rPr>
        <w:t xml:space="preserve"> </w:t>
      </w:r>
      <w:r w:rsidRPr="00823DC0">
        <w:rPr>
          <w:rFonts w:ascii="Times New Roman" w:hAnsi="Times New Roman" w:cs="Times New Roman"/>
        </w:rPr>
        <w:t>меѓународни</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невладини</w:t>
      </w:r>
      <w:r>
        <w:rPr>
          <w:rFonts w:ascii="Times New Roman" w:hAnsi="Times New Roman" w:cs="Times New Roman"/>
        </w:rPr>
        <w:t xml:space="preserve"> </w:t>
      </w:r>
      <w:r w:rsidRPr="00823DC0">
        <w:rPr>
          <w:rFonts w:ascii="Times New Roman" w:hAnsi="Times New Roman" w:cs="Times New Roman"/>
        </w:rPr>
        <w:t>организации.</w:t>
      </w:r>
      <w:r>
        <w:rPr>
          <w:rFonts w:ascii="Times New Roman" w:hAnsi="Times New Roman" w:cs="Times New Roman"/>
        </w:rPr>
        <w:t xml:space="preserve"> </w:t>
      </w:r>
      <w:r w:rsidRPr="00823DC0">
        <w:rPr>
          <w:rFonts w:ascii="Times New Roman" w:hAnsi="Times New Roman" w:cs="Times New Roman"/>
        </w:rPr>
        <w:t>Ова</w:t>
      </w:r>
      <w:r>
        <w:rPr>
          <w:rFonts w:ascii="Times New Roman" w:hAnsi="Times New Roman" w:cs="Times New Roman"/>
        </w:rPr>
        <w:t xml:space="preserve"> </w:t>
      </w:r>
      <w:r w:rsidRPr="00823DC0">
        <w:rPr>
          <w:rFonts w:ascii="Times New Roman" w:hAnsi="Times New Roman" w:cs="Times New Roman"/>
        </w:rPr>
        <w:t>ги</w:t>
      </w:r>
      <w:r>
        <w:rPr>
          <w:rFonts w:ascii="Times New Roman" w:hAnsi="Times New Roman" w:cs="Times New Roman"/>
        </w:rPr>
        <w:t xml:space="preserve"> </w:t>
      </w:r>
      <w:r w:rsidRPr="00823DC0">
        <w:rPr>
          <w:rFonts w:ascii="Times New Roman" w:hAnsi="Times New Roman" w:cs="Times New Roman"/>
        </w:rPr>
        <w:t>опфаќа</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резултатите</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споредбените</w:t>
      </w:r>
      <w:r>
        <w:rPr>
          <w:rFonts w:ascii="Times New Roman" w:hAnsi="Times New Roman" w:cs="Times New Roman"/>
        </w:rPr>
        <w:t xml:space="preserve"> </w:t>
      </w:r>
      <w:r w:rsidRPr="00823DC0">
        <w:rPr>
          <w:rFonts w:ascii="Times New Roman" w:hAnsi="Times New Roman" w:cs="Times New Roman"/>
        </w:rPr>
        <w:t>процени</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индексите</w:t>
      </w:r>
      <w:r>
        <w:rPr>
          <w:rFonts w:ascii="Times New Roman" w:hAnsi="Times New Roman" w:cs="Times New Roman"/>
        </w:rPr>
        <w:t xml:space="preserve"> </w:t>
      </w:r>
      <w:r w:rsidRPr="00823DC0">
        <w:rPr>
          <w:rFonts w:ascii="Times New Roman" w:hAnsi="Times New Roman" w:cs="Times New Roman"/>
        </w:rPr>
        <w:t>подготвени</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другите</w:t>
      </w:r>
      <w:r>
        <w:rPr>
          <w:rFonts w:ascii="Times New Roman" w:hAnsi="Times New Roman" w:cs="Times New Roman"/>
        </w:rPr>
        <w:t xml:space="preserve"> </w:t>
      </w:r>
      <w:r w:rsidRPr="00823DC0">
        <w:rPr>
          <w:rFonts w:ascii="Times New Roman" w:hAnsi="Times New Roman" w:cs="Times New Roman"/>
        </w:rPr>
        <w:t>засегнати</w:t>
      </w:r>
      <w:r>
        <w:rPr>
          <w:rFonts w:ascii="Times New Roman" w:hAnsi="Times New Roman" w:cs="Times New Roman"/>
        </w:rPr>
        <w:t xml:space="preserve"> </w:t>
      </w:r>
      <w:r w:rsidRPr="00823DC0">
        <w:rPr>
          <w:rFonts w:ascii="Times New Roman" w:hAnsi="Times New Roman" w:cs="Times New Roman"/>
        </w:rPr>
        <w:t>страни,</w:t>
      </w:r>
      <w:r>
        <w:rPr>
          <w:rFonts w:ascii="Times New Roman" w:hAnsi="Times New Roman" w:cs="Times New Roman"/>
        </w:rPr>
        <w:t xml:space="preserve"> </w:t>
      </w:r>
      <w:r w:rsidRPr="00823DC0">
        <w:rPr>
          <w:rFonts w:ascii="Times New Roman" w:hAnsi="Times New Roman" w:cs="Times New Roman"/>
        </w:rPr>
        <w:t>особено</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владеењето</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правото.</w:t>
      </w:r>
    </w:p>
    <w:p w14:paraId="33D4051E" w14:textId="77777777" w:rsidR="000E0AE9" w:rsidRPr="00823DC0" w:rsidRDefault="000E0AE9" w:rsidP="00131338">
      <w:pPr>
        <w:pStyle w:val="FootnoteText"/>
        <w:jc w:val="both"/>
        <w:rPr>
          <w:rFonts w:ascii="Times New Roman" w:hAnsi="Times New Roman" w:cs="Times New Roman"/>
          <w:lang w:val="hu-HU"/>
        </w:rPr>
      </w:pPr>
      <w:r w:rsidRPr="00823DC0">
        <w:rPr>
          <w:rFonts w:ascii="Times New Roman" w:hAnsi="Times New Roman" w:cs="Times New Roman"/>
        </w:rPr>
        <w:t>Извештајот</w:t>
      </w:r>
      <w:r>
        <w:rPr>
          <w:rFonts w:ascii="Times New Roman" w:hAnsi="Times New Roman" w:cs="Times New Roman"/>
        </w:rPr>
        <w:t xml:space="preserve"> </w:t>
      </w:r>
      <w:r w:rsidRPr="00823DC0">
        <w:rPr>
          <w:rFonts w:ascii="Times New Roman" w:hAnsi="Times New Roman" w:cs="Times New Roman"/>
        </w:rPr>
        <w:t>ги</w:t>
      </w:r>
      <w:r>
        <w:rPr>
          <w:rFonts w:ascii="Times New Roman" w:hAnsi="Times New Roman" w:cs="Times New Roman"/>
        </w:rPr>
        <w:t xml:space="preserve"> </w:t>
      </w:r>
      <w:r w:rsidRPr="00823DC0">
        <w:rPr>
          <w:rFonts w:ascii="Times New Roman" w:hAnsi="Times New Roman" w:cs="Times New Roman"/>
        </w:rPr>
        <w:t>користи</w:t>
      </w:r>
      <w:r>
        <w:rPr>
          <w:rFonts w:ascii="Times New Roman" w:hAnsi="Times New Roman" w:cs="Times New Roman"/>
        </w:rPr>
        <w:t xml:space="preserve"> </w:t>
      </w:r>
      <w:r w:rsidRPr="00823DC0">
        <w:rPr>
          <w:rFonts w:ascii="Times New Roman" w:hAnsi="Times New Roman" w:cs="Times New Roman"/>
        </w:rPr>
        <w:t>следниве</w:t>
      </w:r>
      <w:r>
        <w:rPr>
          <w:rFonts w:ascii="Times New Roman" w:hAnsi="Times New Roman" w:cs="Times New Roman"/>
        </w:rPr>
        <w:t xml:space="preserve"> </w:t>
      </w:r>
      <w:r w:rsidRPr="00823DC0">
        <w:rPr>
          <w:rFonts w:ascii="Times New Roman" w:hAnsi="Times New Roman" w:cs="Times New Roman"/>
        </w:rPr>
        <w:t>скали</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оценување</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да</w:t>
      </w:r>
      <w:r>
        <w:rPr>
          <w:rFonts w:ascii="Times New Roman" w:hAnsi="Times New Roman" w:cs="Times New Roman"/>
        </w:rPr>
        <w:t xml:space="preserve"> </w:t>
      </w:r>
      <w:r w:rsidRPr="00823DC0">
        <w:rPr>
          <w:rFonts w:ascii="Times New Roman" w:hAnsi="Times New Roman" w:cs="Times New Roman"/>
        </w:rPr>
        <w:t>ја</w:t>
      </w:r>
      <w:r>
        <w:rPr>
          <w:rFonts w:ascii="Times New Roman" w:hAnsi="Times New Roman" w:cs="Times New Roman"/>
        </w:rPr>
        <w:t xml:space="preserve"> </w:t>
      </w:r>
      <w:r w:rsidRPr="00823DC0">
        <w:rPr>
          <w:rFonts w:ascii="Times New Roman" w:hAnsi="Times New Roman" w:cs="Times New Roman"/>
        </w:rPr>
        <w:t>опише</w:t>
      </w:r>
      <w:r>
        <w:rPr>
          <w:rFonts w:ascii="Times New Roman" w:hAnsi="Times New Roman" w:cs="Times New Roman"/>
        </w:rPr>
        <w:t xml:space="preserve"> </w:t>
      </w:r>
      <w:r w:rsidRPr="00823DC0">
        <w:rPr>
          <w:rFonts w:ascii="Times New Roman" w:hAnsi="Times New Roman" w:cs="Times New Roman"/>
        </w:rPr>
        <w:t>фактографската</w:t>
      </w:r>
      <w:r>
        <w:rPr>
          <w:rFonts w:ascii="Times New Roman" w:hAnsi="Times New Roman" w:cs="Times New Roman"/>
        </w:rPr>
        <w:t xml:space="preserve"> </w:t>
      </w:r>
      <w:r w:rsidRPr="00823DC0">
        <w:rPr>
          <w:rFonts w:ascii="Times New Roman" w:hAnsi="Times New Roman" w:cs="Times New Roman"/>
        </w:rPr>
        <w:t>состојба:</w:t>
      </w:r>
      <w:r>
        <w:rPr>
          <w:rFonts w:ascii="Times New Roman" w:hAnsi="Times New Roman" w:cs="Times New Roman"/>
        </w:rPr>
        <w:t xml:space="preserve"> </w:t>
      </w:r>
      <w:r w:rsidRPr="00823DC0">
        <w:rPr>
          <w:rFonts w:ascii="Times New Roman" w:hAnsi="Times New Roman" w:cs="Times New Roman"/>
        </w:rPr>
        <w:t>рана</w:t>
      </w:r>
      <w:r>
        <w:rPr>
          <w:rFonts w:ascii="Times New Roman" w:hAnsi="Times New Roman" w:cs="Times New Roman"/>
        </w:rPr>
        <w:t xml:space="preserve"> </w:t>
      </w:r>
      <w:r w:rsidRPr="00823DC0">
        <w:rPr>
          <w:rFonts w:ascii="Times New Roman" w:hAnsi="Times New Roman" w:cs="Times New Roman"/>
        </w:rPr>
        <w:t>фаза,</w:t>
      </w:r>
      <w:r>
        <w:rPr>
          <w:rFonts w:ascii="Times New Roman" w:hAnsi="Times New Roman" w:cs="Times New Roman"/>
        </w:rPr>
        <w:t xml:space="preserve"> </w:t>
      </w:r>
      <w:r w:rsidRPr="00823DC0">
        <w:rPr>
          <w:rFonts w:ascii="Times New Roman" w:hAnsi="Times New Roman" w:cs="Times New Roman"/>
        </w:rPr>
        <w:t>одредено</w:t>
      </w:r>
      <w:r>
        <w:rPr>
          <w:rFonts w:ascii="Times New Roman" w:hAnsi="Times New Roman" w:cs="Times New Roman"/>
        </w:rPr>
        <w:t xml:space="preserve"> </w:t>
      </w:r>
      <w:r w:rsidRPr="00823DC0">
        <w:rPr>
          <w:rFonts w:ascii="Times New Roman" w:hAnsi="Times New Roman" w:cs="Times New Roman"/>
        </w:rPr>
        <w:t>ниво</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подготвеност,</w:t>
      </w:r>
      <w:r>
        <w:rPr>
          <w:rFonts w:ascii="Times New Roman" w:hAnsi="Times New Roman" w:cs="Times New Roman"/>
        </w:rPr>
        <w:t xml:space="preserve"> </w:t>
      </w:r>
      <w:r w:rsidRPr="00823DC0">
        <w:rPr>
          <w:rFonts w:ascii="Times New Roman" w:hAnsi="Times New Roman" w:cs="Times New Roman"/>
        </w:rPr>
        <w:t>умерена</w:t>
      </w:r>
      <w:r>
        <w:rPr>
          <w:rFonts w:ascii="Times New Roman" w:hAnsi="Times New Roman" w:cs="Times New Roman"/>
        </w:rPr>
        <w:t xml:space="preserve"> </w:t>
      </w:r>
      <w:r w:rsidRPr="00823DC0">
        <w:rPr>
          <w:rFonts w:ascii="Times New Roman" w:hAnsi="Times New Roman" w:cs="Times New Roman"/>
        </w:rPr>
        <w:t>подготвеност,</w:t>
      </w:r>
      <w:r>
        <w:rPr>
          <w:rFonts w:ascii="Times New Roman" w:hAnsi="Times New Roman" w:cs="Times New Roman"/>
        </w:rPr>
        <w:t xml:space="preserve"> </w:t>
      </w:r>
      <w:r w:rsidRPr="00823DC0">
        <w:rPr>
          <w:rFonts w:ascii="Times New Roman" w:hAnsi="Times New Roman" w:cs="Times New Roman"/>
        </w:rPr>
        <w:t>добро</w:t>
      </w:r>
      <w:r>
        <w:rPr>
          <w:rFonts w:ascii="Times New Roman" w:hAnsi="Times New Roman" w:cs="Times New Roman"/>
        </w:rPr>
        <w:t xml:space="preserve"> </w:t>
      </w:r>
      <w:r w:rsidRPr="00823DC0">
        <w:rPr>
          <w:rFonts w:ascii="Times New Roman" w:hAnsi="Times New Roman" w:cs="Times New Roman"/>
        </w:rPr>
        <w:t>ниво</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подготвеност</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добар</w:t>
      </w:r>
      <w:r>
        <w:rPr>
          <w:rFonts w:ascii="Times New Roman" w:hAnsi="Times New Roman" w:cs="Times New Roman"/>
        </w:rPr>
        <w:t xml:space="preserve"> </w:t>
      </w:r>
      <w:r w:rsidRPr="00823DC0">
        <w:rPr>
          <w:rFonts w:ascii="Times New Roman" w:hAnsi="Times New Roman" w:cs="Times New Roman"/>
        </w:rPr>
        <w:t>напредок.</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да</w:t>
      </w:r>
      <w:r>
        <w:rPr>
          <w:rFonts w:ascii="Times New Roman" w:hAnsi="Times New Roman" w:cs="Times New Roman"/>
        </w:rPr>
        <w:t xml:space="preserve"> </w:t>
      </w:r>
      <w:r w:rsidRPr="00823DC0">
        <w:rPr>
          <w:rFonts w:ascii="Times New Roman" w:hAnsi="Times New Roman" w:cs="Times New Roman"/>
        </w:rPr>
        <w:t>го</w:t>
      </w:r>
      <w:r>
        <w:rPr>
          <w:rFonts w:ascii="Times New Roman" w:hAnsi="Times New Roman" w:cs="Times New Roman"/>
        </w:rPr>
        <w:t xml:space="preserve"> </w:t>
      </w:r>
      <w:r w:rsidRPr="00823DC0">
        <w:rPr>
          <w:rFonts w:ascii="Times New Roman" w:hAnsi="Times New Roman" w:cs="Times New Roman"/>
        </w:rPr>
        <w:t>опише</w:t>
      </w:r>
      <w:r>
        <w:rPr>
          <w:rFonts w:ascii="Times New Roman" w:hAnsi="Times New Roman" w:cs="Times New Roman"/>
        </w:rPr>
        <w:t xml:space="preserve"> </w:t>
      </w:r>
      <w:r w:rsidRPr="00823DC0">
        <w:rPr>
          <w:rFonts w:ascii="Times New Roman" w:hAnsi="Times New Roman" w:cs="Times New Roman"/>
        </w:rPr>
        <w:t>напредокот</w:t>
      </w:r>
      <w:r>
        <w:rPr>
          <w:rFonts w:ascii="Times New Roman" w:hAnsi="Times New Roman" w:cs="Times New Roman"/>
        </w:rPr>
        <w:t xml:space="preserve"> </w:t>
      </w:r>
      <w:r w:rsidRPr="00823DC0">
        <w:rPr>
          <w:rFonts w:ascii="Times New Roman" w:hAnsi="Times New Roman" w:cs="Times New Roman"/>
        </w:rPr>
        <w:t>постигнат</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извештајниот</w:t>
      </w:r>
      <w:r>
        <w:rPr>
          <w:rFonts w:ascii="Times New Roman" w:hAnsi="Times New Roman" w:cs="Times New Roman"/>
        </w:rPr>
        <w:t xml:space="preserve"> </w:t>
      </w:r>
      <w:r w:rsidRPr="00823DC0">
        <w:rPr>
          <w:rFonts w:ascii="Times New Roman" w:hAnsi="Times New Roman" w:cs="Times New Roman"/>
        </w:rPr>
        <w:t>период,</w:t>
      </w:r>
      <w:r>
        <w:rPr>
          <w:rFonts w:ascii="Times New Roman" w:hAnsi="Times New Roman" w:cs="Times New Roman"/>
        </w:rPr>
        <w:t xml:space="preserve"> </w:t>
      </w:r>
      <w:r w:rsidRPr="00823DC0">
        <w:rPr>
          <w:rFonts w:ascii="Times New Roman" w:hAnsi="Times New Roman" w:cs="Times New Roman"/>
        </w:rPr>
        <w:t>ја</w:t>
      </w:r>
      <w:r>
        <w:rPr>
          <w:rFonts w:ascii="Times New Roman" w:hAnsi="Times New Roman" w:cs="Times New Roman"/>
        </w:rPr>
        <w:t xml:space="preserve"> </w:t>
      </w:r>
      <w:r w:rsidRPr="00823DC0">
        <w:rPr>
          <w:rFonts w:ascii="Times New Roman" w:hAnsi="Times New Roman" w:cs="Times New Roman"/>
        </w:rPr>
        <w:t>користи</w:t>
      </w:r>
      <w:r>
        <w:rPr>
          <w:rFonts w:ascii="Times New Roman" w:hAnsi="Times New Roman" w:cs="Times New Roman"/>
        </w:rPr>
        <w:t xml:space="preserve"> </w:t>
      </w:r>
      <w:r w:rsidRPr="00823DC0">
        <w:rPr>
          <w:rFonts w:ascii="Times New Roman" w:hAnsi="Times New Roman" w:cs="Times New Roman"/>
        </w:rPr>
        <w:t>следнава</w:t>
      </w:r>
      <w:r>
        <w:rPr>
          <w:rFonts w:ascii="Times New Roman" w:hAnsi="Times New Roman" w:cs="Times New Roman"/>
        </w:rPr>
        <w:t xml:space="preserve"> </w:t>
      </w:r>
      <w:r w:rsidRPr="00823DC0">
        <w:rPr>
          <w:rFonts w:ascii="Times New Roman" w:hAnsi="Times New Roman" w:cs="Times New Roman"/>
        </w:rPr>
        <w:t>скала:</w:t>
      </w:r>
      <w:r>
        <w:rPr>
          <w:rFonts w:ascii="Times New Roman" w:hAnsi="Times New Roman" w:cs="Times New Roman"/>
        </w:rPr>
        <w:t xml:space="preserve"> </w:t>
      </w:r>
      <w:r w:rsidRPr="00823DC0">
        <w:rPr>
          <w:rFonts w:ascii="Times New Roman" w:hAnsi="Times New Roman" w:cs="Times New Roman"/>
        </w:rPr>
        <w:t>заостанување,</w:t>
      </w:r>
      <w:r>
        <w:rPr>
          <w:rFonts w:ascii="Times New Roman" w:hAnsi="Times New Roman" w:cs="Times New Roman"/>
        </w:rPr>
        <w:t xml:space="preserve"> </w:t>
      </w:r>
      <w:r w:rsidRPr="00823DC0">
        <w:rPr>
          <w:rFonts w:ascii="Times New Roman" w:hAnsi="Times New Roman" w:cs="Times New Roman"/>
        </w:rPr>
        <w:t>нема</w:t>
      </w:r>
      <w:r>
        <w:rPr>
          <w:rFonts w:ascii="Times New Roman" w:hAnsi="Times New Roman" w:cs="Times New Roman"/>
        </w:rPr>
        <w:t xml:space="preserve"> </w:t>
      </w:r>
      <w:r w:rsidRPr="00823DC0">
        <w:rPr>
          <w:rFonts w:ascii="Times New Roman" w:hAnsi="Times New Roman" w:cs="Times New Roman"/>
        </w:rPr>
        <w:t>напредок,</w:t>
      </w:r>
      <w:r>
        <w:rPr>
          <w:rFonts w:ascii="Times New Roman" w:hAnsi="Times New Roman" w:cs="Times New Roman"/>
        </w:rPr>
        <w:t xml:space="preserve"> </w:t>
      </w:r>
      <w:r w:rsidRPr="00823DC0">
        <w:rPr>
          <w:rFonts w:ascii="Times New Roman" w:hAnsi="Times New Roman" w:cs="Times New Roman"/>
        </w:rPr>
        <w:t>ограничен</w:t>
      </w:r>
      <w:r>
        <w:rPr>
          <w:rFonts w:ascii="Times New Roman" w:hAnsi="Times New Roman" w:cs="Times New Roman"/>
        </w:rPr>
        <w:t xml:space="preserve"> </w:t>
      </w:r>
      <w:r w:rsidRPr="00823DC0">
        <w:rPr>
          <w:rFonts w:ascii="Times New Roman" w:hAnsi="Times New Roman" w:cs="Times New Roman"/>
        </w:rPr>
        <w:t>напредок,</w:t>
      </w:r>
      <w:r>
        <w:rPr>
          <w:rFonts w:ascii="Times New Roman" w:hAnsi="Times New Roman" w:cs="Times New Roman"/>
        </w:rPr>
        <w:t xml:space="preserve"> </w:t>
      </w:r>
      <w:r w:rsidRPr="00823DC0">
        <w:rPr>
          <w:rFonts w:ascii="Times New Roman" w:hAnsi="Times New Roman" w:cs="Times New Roman"/>
        </w:rPr>
        <w:t>одреден</w:t>
      </w:r>
      <w:r>
        <w:rPr>
          <w:rFonts w:ascii="Times New Roman" w:hAnsi="Times New Roman" w:cs="Times New Roman"/>
        </w:rPr>
        <w:t xml:space="preserve"> </w:t>
      </w:r>
      <w:r w:rsidRPr="00823DC0">
        <w:rPr>
          <w:rFonts w:ascii="Times New Roman" w:hAnsi="Times New Roman" w:cs="Times New Roman"/>
        </w:rPr>
        <w:t>напредок,</w:t>
      </w:r>
      <w:r>
        <w:rPr>
          <w:rFonts w:ascii="Times New Roman" w:hAnsi="Times New Roman" w:cs="Times New Roman"/>
        </w:rPr>
        <w:t xml:space="preserve"> </w:t>
      </w:r>
      <w:r w:rsidRPr="00823DC0">
        <w:rPr>
          <w:rFonts w:ascii="Times New Roman" w:hAnsi="Times New Roman" w:cs="Times New Roman"/>
        </w:rPr>
        <w:t>добар</w:t>
      </w:r>
      <w:r>
        <w:rPr>
          <w:rFonts w:ascii="Times New Roman" w:hAnsi="Times New Roman" w:cs="Times New Roman"/>
        </w:rPr>
        <w:t xml:space="preserve"> </w:t>
      </w:r>
      <w:r w:rsidRPr="00823DC0">
        <w:rPr>
          <w:rFonts w:ascii="Times New Roman" w:hAnsi="Times New Roman" w:cs="Times New Roman"/>
        </w:rPr>
        <w:t>напредок</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многу</w:t>
      </w:r>
      <w:r>
        <w:rPr>
          <w:rFonts w:ascii="Times New Roman" w:hAnsi="Times New Roman" w:cs="Times New Roman"/>
        </w:rPr>
        <w:t xml:space="preserve"> </w:t>
      </w:r>
      <w:r w:rsidRPr="00823DC0">
        <w:rPr>
          <w:rFonts w:ascii="Times New Roman" w:hAnsi="Times New Roman" w:cs="Times New Roman"/>
        </w:rPr>
        <w:t>добар</w:t>
      </w:r>
      <w:r>
        <w:rPr>
          <w:rFonts w:ascii="Times New Roman" w:hAnsi="Times New Roman" w:cs="Times New Roman"/>
        </w:rPr>
        <w:t xml:space="preserve"> </w:t>
      </w:r>
      <w:r w:rsidRPr="00823DC0">
        <w:rPr>
          <w:rFonts w:ascii="Times New Roman" w:hAnsi="Times New Roman" w:cs="Times New Roman"/>
        </w:rPr>
        <w:t>напредок.</w:t>
      </w:r>
      <w:r>
        <w:rPr>
          <w:rFonts w:ascii="Times New Roman" w:hAnsi="Times New Roman" w:cs="Times New Roman"/>
        </w:rPr>
        <w:t xml:space="preserve"> </w:t>
      </w:r>
      <w:r w:rsidRPr="00823DC0">
        <w:rPr>
          <w:rFonts w:ascii="Times New Roman" w:hAnsi="Times New Roman" w:cs="Times New Roman"/>
        </w:rPr>
        <w:t>Онаму</w:t>
      </w:r>
      <w:r>
        <w:rPr>
          <w:rFonts w:ascii="Times New Roman" w:hAnsi="Times New Roman" w:cs="Times New Roman"/>
        </w:rPr>
        <w:t xml:space="preserve"> </w:t>
      </w:r>
      <w:r w:rsidRPr="00823DC0">
        <w:rPr>
          <w:rFonts w:ascii="Times New Roman" w:hAnsi="Times New Roman" w:cs="Times New Roman"/>
        </w:rPr>
        <w:t>каде</w:t>
      </w:r>
      <w:r>
        <w:rPr>
          <w:rFonts w:ascii="Times New Roman" w:hAnsi="Times New Roman" w:cs="Times New Roman"/>
        </w:rPr>
        <w:t xml:space="preserve"> </w:t>
      </w:r>
      <w:r w:rsidRPr="00823DC0">
        <w:rPr>
          <w:rFonts w:ascii="Times New Roman" w:hAnsi="Times New Roman" w:cs="Times New Roman"/>
        </w:rPr>
        <w:t>што</w:t>
      </w:r>
      <w:r>
        <w:rPr>
          <w:rFonts w:ascii="Times New Roman" w:hAnsi="Times New Roman" w:cs="Times New Roman"/>
        </w:rPr>
        <w:t xml:space="preserve"> </w:t>
      </w:r>
      <w:r w:rsidRPr="00823DC0">
        <w:rPr>
          <w:rFonts w:ascii="Times New Roman" w:hAnsi="Times New Roman" w:cs="Times New Roman"/>
        </w:rPr>
        <w:t>е</w:t>
      </w:r>
      <w:r>
        <w:rPr>
          <w:rFonts w:ascii="Times New Roman" w:hAnsi="Times New Roman" w:cs="Times New Roman"/>
        </w:rPr>
        <w:t xml:space="preserve"> </w:t>
      </w:r>
      <w:r w:rsidRPr="00823DC0">
        <w:rPr>
          <w:rFonts w:ascii="Times New Roman" w:hAnsi="Times New Roman" w:cs="Times New Roman"/>
        </w:rPr>
        <w:t>соодветно,</w:t>
      </w:r>
      <w:r>
        <w:rPr>
          <w:rFonts w:ascii="Times New Roman" w:hAnsi="Times New Roman" w:cs="Times New Roman"/>
        </w:rPr>
        <w:t xml:space="preserve"> </w:t>
      </w:r>
      <w:r w:rsidRPr="00823DC0">
        <w:rPr>
          <w:rFonts w:ascii="Times New Roman" w:hAnsi="Times New Roman" w:cs="Times New Roman"/>
        </w:rPr>
        <w:t>се</w:t>
      </w:r>
      <w:r>
        <w:rPr>
          <w:rFonts w:ascii="Times New Roman" w:hAnsi="Times New Roman" w:cs="Times New Roman"/>
        </w:rPr>
        <w:t xml:space="preserve"> </w:t>
      </w:r>
      <w:r w:rsidRPr="00823DC0">
        <w:rPr>
          <w:rFonts w:ascii="Times New Roman" w:hAnsi="Times New Roman" w:cs="Times New Roman"/>
        </w:rPr>
        <w:t>користат</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привремени</w:t>
      </w:r>
      <w:r>
        <w:rPr>
          <w:rFonts w:ascii="Times New Roman" w:hAnsi="Times New Roman" w:cs="Times New Roman"/>
        </w:rPr>
        <w:t xml:space="preserve"> </w:t>
      </w:r>
      <w:r w:rsidRPr="00823DC0">
        <w:rPr>
          <w:rFonts w:ascii="Times New Roman" w:hAnsi="Times New Roman" w:cs="Times New Roman"/>
        </w:rPr>
        <w:t>чекори.</w:t>
      </w:r>
    </w:p>
  </w:footnote>
  <w:footnote w:id="3">
    <w:p w14:paraId="67D52E28" w14:textId="77777777" w:rsidR="000E0AE9" w:rsidRDefault="000E0AE9" w:rsidP="007647C2">
      <w:pPr>
        <w:pStyle w:val="FootnoteText"/>
        <w:jc w:val="both"/>
        <w:rPr>
          <w:rFonts w:ascii="Times New Roman" w:hAnsi="Times New Roman" w:cs="Times New Roman"/>
          <w:i/>
          <w:iCs/>
        </w:rPr>
      </w:pPr>
      <w:r w:rsidRPr="00823DC0">
        <w:rPr>
          <w:rStyle w:val="FootnoteReference"/>
          <w:rFonts w:ascii="Times New Roman" w:hAnsi="Times New Roman" w:cs="Times New Roman"/>
          <w:i/>
        </w:rPr>
        <w:footnoteRef/>
      </w:r>
      <w:r w:rsidRPr="00823DC0">
        <w:rPr>
          <w:rFonts w:ascii="Times New Roman" w:hAnsi="Times New Roman" w:cs="Times New Roman"/>
          <w:i/>
        </w:rPr>
        <w:t>Внатрешна</w:t>
      </w:r>
      <w:r>
        <w:rPr>
          <w:rFonts w:ascii="Times New Roman" w:hAnsi="Times New Roman" w:cs="Times New Roman"/>
          <w:i/>
        </w:rPr>
        <w:t xml:space="preserve"> </w:t>
      </w:r>
      <w:r w:rsidRPr="00823DC0">
        <w:rPr>
          <w:rFonts w:ascii="Times New Roman" w:hAnsi="Times New Roman" w:cs="Times New Roman"/>
          <w:i/>
        </w:rPr>
        <w:t>македонска</w:t>
      </w:r>
      <w:r>
        <w:rPr>
          <w:rFonts w:ascii="Times New Roman" w:hAnsi="Times New Roman" w:cs="Times New Roman"/>
          <w:i/>
        </w:rPr>
        <w:t xml:space="preserve"> </w:t>
      </w:r>
      <w:r w:rsidRPr="00823DC0">
        <w:rPr>
          <w:rFonts w:ascii="Times New Roman" w:hAnsi="Times New Roman" w:cs="Times New Roman"/>
          <w:i/>
        </w:rPr>
        <w:t>револуционерна</w:t>
      </w:r>
      <w:r>
        <w:rPr>
          <w:rFonts w:ascii="Times New Roman" w:hAnsi="Times New Roman" w:cs="Times New Roman"/>
          <w:i/>
        </w:rPr>
        <w:t xml:space="preserve"> </w:t>
      </w:r>
      <w:r w:rsidRPr="00823DC0">
        <w:rPr>
          <w:rFonts w:ascii="Times New Roman" w:hAnsi="Times New Roman" w:cs="Times New Roman"/>
          <w:i/>
        </w:rPr>
        <w:t>организација</w:t>
      </w:r>
      <w:r>
        <w:rPr>
          <w:rFonts w:ascii="Times New Roman" w:hAnsi="Times New Roman" w:cs="Times New Roman"/>
          <w:i/>
        </w:rPr>
        <w:t xml:space="preserve"> – </w:t>
      </w:r>
      <w:r w:rsidRPr="00823DC0">
        <w:rPr>
          <w:rFonts w:ascii="Times New Roman" w:hAnsi="Times New Roman" w:cs="Times New Roman"/>
          <w:i/>
        </w:rPr>
        <w:t>Демократска</w:t>
      </w:r>
      <w:r>
        <w:rPr>
          <w:rFonts w:ascii="Times New Roman" w:hAnsi="Times New Roman" w:cs="Times New Roman"/>
          <w:i/>
        </w:rPr>
        <w:t xml:space="preserve"> </w:t>
      </w:r>
      <w:r w:rsidRPr="00823DC0">
        <w:rPr>
          <w:rFonts w:ascii="Times New Roman" w:hAnsi="Times New Roman" w:cs="Times New Roman"/>
          <w:i/>
        </w:rPr>
        <w:t>партија</w:t>
      </w:r>
      <w:r>
        <w:rPr>
          <w:rFonts w:ascii="Times New Roman" w:hAnsi="Times New Roman" w:cs="Times New Roman"/>
          <w:i/>
        </w:rPr>
        <w:t xml:space="preserve"> </w:t>
      </w:r>
      <w:r w:rsidRPr="00823DC0">
        <w:rPr>
          <w:rFonts w:ascii="Times New Roman" w:hAnsi="Times New Roman" w:cs="Times New Roman"/>
          <w:i/>
        </w:rPr>
        <w:t>за</w:t>
      </w:r>
      <w:r>
        <w:rPr>
          <w:rFonts w:ascii="Times New Roman" w:hAnsi="Times New Roman" w:cs="Times New Roman"/>
          <w:i/>
        </w:rPr>
        <w:t xml:space="preserve"> </w:t>
      </w:r>
      <w:r w:rsidRPr="00823DC0">
        <w:rPr>
          <w:rFonts w:ascii="Times New Roman" w:hAnsi="Times New Roman" w:cs="Times New Roman"/>
          <w:i/>
        </w:rPr>
        <w:t>македонско</w:t>
      </w:r>
      <w:r>
        <w:rPr>
          <w:rFonts w:ascii="Times New Roman" w:hAnsi="Times New Roman" w:cs="Times New Roman"/>
          <w:i/>
        </w:rPr>
        <w:t xml:space="preserve"> </w:t>
      </w:r>
      <w:r w:rsidRPr="00823DC0">
        <w:rPr>
          <w:rFonts w:ascii="Times New Roman" w:hAnsi="Times New Roman" w:cs="Times New Roman"/>
          <w:i/>
        </w:rPr>
        <w:t>национално</w:t>
      </w:r>
      <w:r>
        <w:rPr>
          <w:rFonts w:ascii="Times New Roman" w:hAnsi="Times New Roman" w:cs="Times New Roman"/>
          <w:i/>
        </w:rPr>
        <w:t xml:space="preserve"> </w:t>
      </w:r>
      <w:r w:rsidRPr="00823DC0">
        <w:rPr>
          <w:rFonts w:ascii="Times New Roman" w:hAnsi="Times New Roman" w:cs="Times New Roman"/>
          <w:i/>
        </w:rPr>
        <w:t>единство</w:t>
      </w:r>
      <w:r>
        <w:rPr>
          <w:rFonts w:ascii="Times New Roman" w:hAnsi="Times New Roman" w:cs="Times New Roman"/>
          <w:i/>
        </w:rPr>
        <w:t>.</w:t>
      </w:r>
    </w:p>
  </w:footnote>
  <w:footnote w:id="4">
    <w:p w14:paraId="7858A1B3" w14:textId="77777777" w:rsidR="000E0AE9" w:rsidRPr="00823DC0" w:rsidRDefault="000E0AE9" w:rsidP="00131338">
      <w:pPr>
        <w:pStyle w:val="FootnoteText"/>
        <w:rPr>
          <w:rFonts w:ascii="Times New Roman" w:hAnsi="Times New Roman" w:cs="Times New Roman"/>
        </w:rPr>
      </w:pPr>
      <w:r w:rsidRPr="00823DC0">
        <w:rPr>
          <w:rStyle w:val="FootnoteReference"/>
          <w:rFonts w:ascii="Times New Roman" w:hAnsi="Times New Roman" w:cs="Times New Roman"/>
          <w:i/>
        </w:rPr>
        <w:footnoteRef/>
      </w:r>
      <w:r>
        <w:rPr>
          <w:rFonts w:ascii="Times New Roman" w:hAnsi="Times New Roman" w:cs="Times New Roman"/>
          <w:i/>
        </w:rPr>
        <w:t xml:space="preserve"> </w:t>
      </w:r>
      <w:r w:rsidRPr="00823DC0">
        <w:rPr>
          <w:rFonts w:ascii="Times New Roman" w:hAnsi="Times New Roman" w:cs="Times New Roman"/>
          <w:i/>
        </w:rPr>
        <w:t>Социјалдемократски</w:t>
      </w:r>
      <w:r>
        <w:rPr>
          <w:rFonts w:ascii="Times New Roman" w:hAnsi="Times New Roman" w:cs="Times New Roman"/>
          <w:i/>
        </w:rPr>
        <w:t xml:space="preserve"> </w:t>
      </w:r>
      <w:r w:rsidRPr="00823DC0">
        <w:rPr>
          <w:rFonts w:ascii="Times New Roman" w:hAnsi="Times New Roman" w:cs="Times New Roman"/>
          <w:i/>
        </w:rPr>
        <w:t>сојуз</w:t>
      </w:r>
      <w:r>
        <w:rPr>
          <w:rFonts w:ascii="Times New Roman" w:hAnsi="Times New Roman" w:cs="Times New Roman"/>
          <w:i/>
        </w:rPr>
        <w:t xml:space="preserve"> </w:t>
      </w:r>
      <w:r w:rsidRPr="00823DC0">
        <w:rPr>
          <w:rFonts w:ascii="Times New Roman" w:hAnsi="Times New Roman" w:cs="Times New Roman"/>
          <w:i/>
        </w:rPr>
        <w:t>на</w:t>
      </w:r>
      <w:r>
        <w:rPr>
          <w:rFonts w:ascii="Times New Roman" w:hAnsi="Times New Roman" w:cs="Times New Roman"/>
          <w:i/>
        </w:rPr>
        <w:t xml:space="preserve"> </w:t>
      </w:r>
      <w:r w:rsidRPr="00823DC0">
        <w:rPr>
          <w:rFonts w:ascii="Times New Roman" w:hAnsi="Times New Roman" w:cs="Times New Roman"/>
          <w:i/>
        </w:rPr>
        <w:t>Македонија</w:t>
      </w:r>
      <w:r>
        <w:rPr>
          <w:rFonts w:ascii="Times New Roman" w:hAnsi="Times New Roman" w:cs="Times New Roman"/>
          <w:i/>
        </w:rPr>
        <w:t>.</w:t>
      </w:r>
    </w:p>
  </w:footnote>
  <w:footnote w:id="5">
    <w:p w14:paraId="7B4042D0" w14:textId="77777777" w:rsidR="000E0AE9" w:rsidRPr="00823DC0" w:rsidRDefault="000E0AE9" w:rsidP="00131338">
      <w:pPr>
        <w:pStyle w:val="FootnoteText"/>
        <w:rPr>
          <w:rFonts w:ascii="Times New Roman" w:hAnsi="Times New Roman" w:cs="Times New Roman"/>
        </w:rPr>
      </w:pPr>
    </w:p>
  </w:footnote>
  <w:footnote w:id="6">
    <w:p w14:paraId="6B503041" w14:textId="77777777" w:rsidR="000E0AE9" w:rsidRPr="00705B41" w:rsidRDefault="000E0AE9" w:rsidP="00131338">
      <w:pPr>
        <w:pStyle w:val="FootnoteText"/>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823DC0">
        <w:rPr>
          <w:rFonts w:ascii="Times New Roman" w:hAnsi="Times New Roman" w:cs="Times New Roman"/>
        </w:rPr>
        <w:t>Демократска</w:t>
      </w:r>
      <w:r>
        <w:rPr>
          <w:rFonts w:ascii="Times New Roman" w:hAnsi="Times New Roman" w:cs="Times New Roman"/>
        </w:rPr>
        <w:t xml:space="preserve"> </w:t>
      </w:r>
      <w:r w:rsidRPr="00823DC0">
        <w:rPr>
          <w:rFonts w:ascii="Times New Roman" w:hAnsi="Times New Roman" w:cs="Times New Roman"/>
        </w:rPr>
        <w:t>унија</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интеграција</w:t>
      </w:r>
      <w:r w:rsidRPr="00705B41">
        <w:rPr>
          <w:rFonts w:ascii="Times New Roman" w:hAnsi="Times New Roman" w:cs="Times New Roman"/>
        </w:rPr>
        <w:t>.</w:t>
      </w:r>
    </w:p>
  </w:footnote>
  <w:footnote w:id="7">
    <w:p w14:paraId="7E580FD7" w14:textId="77777777" w:rsidR="000E0AE9" w:rsidRPr="00705B41" w:rsidRDefault="000E0AE9" w:rsidP="00131338">
      <w:pPr>
        <w:pStyle w:val="FootnoteText"/>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823DC0">
        <w:rPr>
          <w:rFonts w:ascii="Times New Roman" w:hAnsi="Times New Roman" w:cs="Times New Roman"/>
        </w:rPr>
        <w:t>Демократска</w:t>
      </w:r>
      <w:r>
        <w:rPr>
          <w:rFonts w:ascii="Times New Roman" w:hAnsi="Times New Roman" w:cs="Times New Roman"/>
        </w:rPr>
        <w:t xml:space="preserve"> </w:t>
      </w:r>
      <w:r w:rsidRPr="00823DC0">
        <w:rPr>
          <w:rFonts w:ascii="Times New Roman" w:hAnsi="Times New Roman" w:cs="Times New Roman"/>
        </w:rPr>
        <w:t>партија</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Албанците</w:t>
      </w:r>
      <w:r w:rsidRPr="00705B41">
        <w:rPr>
          <w:rFonts w:ascii="Times New Roman" w:hAnsi="Times New Roman" w:cs="Times New Roman"/>
        </w:rPr>
        <w:t>.</w:t>
      </w:r>
    </w:p>
  </w:footnote>
  <w:footnote w:id="8">
    <w:p w14:paraId="49180644" w14:textId="77777777" w:rsidR="000E0AE9" w:rsidRPr="00823DC0" w:rsidRDefault="000E0AE9" w:rsidP="006E4EB0">
      <w:pPr>
        <w:pStyle w:val="FootnoteText"/>
        <w:rPr>
          <w:rFonts w:ascii="Times New Roman" w:hAnsi="Times New Roman" w:cs="Times New Roman"/>
        </w:rPr>
      </w:pPr>
      <w:r w:rsidRPr="00823DC0">
        <w:rPr>
          <w:rStyle w:val="FootnoteReference"/>
          <w:rFonts w:ascii="Times New Roman" w:hAnsi="Times New Roman" w:cs="Times New Roman"/>
        </w:rPr>
        <w:footnoteRef/>
      </w:r>
      <w:r>
        <w:t xml:space="preserve"> </w:t>
      </w:r>
      <w:hyperlink r:id="rId2" w:history="1">
        <w:r>
          <w:rPr>
            <w:rStyle w:val="Hyperlink"/>
            <w:rFonts w:ascii="Times New Roman" w:hAnsi="Times New Roman" w:cs="Times New Roman"/>
          </w:rPr>
          <w:t>Декларација за иднината на и</w:t>
        </w:r>
        <w:r w:rsidRPr="00823DC0">
          <w:rPr>
            <w:rStyle w:val="Hyperlink"/>
            <w:rFonts w:ascii="Times New Roman" w:hAnsi="Times New Roman" w:cs="Times New Roman"/>
          </w:rPr>
          <w:t>нтернетот</w:t>
        </w:r>
        <w:r>
          <w:rPr>
            <w:rStyle w:val="Hyperlink"/>
            <w:rFonts w:ascii="Times New Roman" w:hAnsi="Times New Roman" w:cs="Times New Roman"/>
          </w:rPr>
          <w:t xml:space="preserve"> </w:t>
        </w:r>
        <w:r w:rsidRPr="00823DC0">
          <w:rPr>
            <w:rStyle w:val="Hyperlink"/>
            <w:rFonts w:ascii="Times New Roman" w:hAnsi="Times New Roman" w:cs="Times New Roman"/>
          </w:rPr>
          <w:t>|</w:t>
        </w:r>
        <w:r>
          <w:rPr>
            <w:rStyle w:val="Hyperlink"/>
            <w:rFonts w:ascii="Times New Roman" w:hAnsi="Times New Roman" w:cs="Times New Roman"/>
          </w:rPr>
          <w:t xml:space="preserve"> </w:t>
        </w:r>
        <w:r w:rsidRPr="00823DC0">
          <w:rPr>
            <w:rStyle w:val="Hyperlink"/>
            <w:rFonts w:ascii="Times New Roman" w:hAnsi="Times New Roman" w:cs="Times New Roman"/>
          </w:rPr>
          <w:t>Оформување</w:t>
        </w:r>
        <w:r>
          <w:rPr>
            <w:rStyle w:val="Hyperlink"/>
            <w:rFonts w:ascii="Times New Roman" w:hAnsi="Times New Roman" w:cs="Times New Roman"/>
          </w:rPr>
          <w:t xml:space="preserve"> </w:t>
        </w:r>
        <w:r w:rsidRPr="00823DC0">
          <w:rPr>
            <w:rStyle w:val="Hyperlink"/>
            <w:rFonts w:ascii="Times New Roman" w:hAnsi="Times New Roman" w:cs="Times New Roman"/>
          </w:rPr>
          <w:t>на</w:t>
        </w:r>
        <w:r>
          <w:rPr>
            <w:rStyle w:val="Hyperlink"/>
            <w:rFonts w:ascii="Times New Roman" w:hAnsi="Times New Roman" w:cs="Times New Roman"/>
          </w:rPr>
          <w:t xml:space="preserve"> </w:t>
        </w:r>
        <w:r w:rsidRPr="00823DC0">
          <w:rPr>
            <w:rStyle w:val="Hyperlink"/>
            <w:rFonts w:ascii="Times New Roman" w:hAnsi="Times New Roman" w:cs="Times New Roman"/>
          </w:rPr>
          <w:t>дигиталната</w:t>
        </w:r>
        <w:r>
          <w:rPr>
            <w:rStyle w:val="Hyperlink"/>
            <w:rFonts w:ascii="Times New Roman" w:hAnsi="Times New Roman" w:cs="Times New Roman"/>
          </w:rPr>
          <w:t xml:space="preserve"> </w:t>
        </w:r>
        <w:r w:rsidRPr="00823DC0">
          <w:rPr>
            <w:rStyle w:val="Hyperlink"/>
            <w:rFonts w:ascii="Times New Roman" w:hAnsi="Times New Roman" w:cs="Times New Roman"/>
          </w:rPr>
          <w:t>иднина</w:t>
        </w:r>
        <w:r>
          <w:rPr>
            <w:rStyle w:val="Hyperlink"/>
            <w:rFonts w:ascii="Times New Roman" w:hAnsi="Times New Roman" w:cs="Times New Roman"/>
          </w:rPr>
          <w:t xml:space="preserve"> </w:t>
        </w:r>
        <w:r w:rsidRPr="00823DC0">
          <w:rPr>
            <w:rStyle w:val="Hyperlink"/>
            <w:rFonts w:ascii="Times New Roman" w:hAnsi="Times New Roman" w:cs="Times New Roman"/>
          </w:rPr>
          <w:t>не</w:t>
        </w:r>
        <w:r>
          <w:rPr>
            <w:rStyle w:val="Hyperlink"/>
            <w:rFonts w:ascii="Times New Roman" w:hAnsi="Times New Roman" w:cs="Times New Roman"/>
          </w:rPr>
          <w:t xml:space="preserve"> </w:t>
        </w:r>
        <w:r w:rsidRPr="00823DC0">
          <w:rPr>
            <w:rStyle w:val="Hyperlink"/>
            <w:rFonts w:ascii="Times New Roman" w:hAnsi="Times New Roman" w:cs="Times New Roman"/>
          </w:rPr>
          <w:t>Европа</w:t>
        </w:r>
        <w:r>
          <w:rPr>
            <w:rStyle w:val="Hyperlink"/>
            <w:rFonts w:ascii="Times New Roman" w:hAnsi="Times New Roman" w:cs="Times New Roman"/>
          </w:rPr>
          <w:t xml:space="preserve"> </w:t>
        </w:r>
        <w:r w:rsidRPr="00823DC0">
          <w:rPr>
            <w:rStyle w:val="Hyperlink"/>
            <w:rFonts w:ascii="Times New Roman" w:hAnsi="Times New Roman" w:cs="Times New Roman"/>
          </w:rPr>
          <w:t>(europa.eu)</w:t>
        </w:r>
      </w:hyperlink>
    </w:p>
  </w:footnote>
  <w:footnote w:id="9">
    <w:p w14:paraId="39B5335F" w14:textId="3DD8F511" w:rsidR="000E0AE9" w:rsidRPr="00823DC0" w:rsidRDefault="000E0AE9" w:rsidP="006E4EB0">
      <w:pPr>
        <w:pStyle w:val="FootnoteText"/>
        <w:jc w:val="both"/>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823DC0">
        <w:rPr>
          <w:rFonts w:ascii="Times New Roman" w:hAnsi="Times New Roman" w:cs="Times New Roman"/>
        </w:rPr>
        <w:t>Директива</w:t>
      </w:r>
      <w:r>
        <w:rPr>
          <w:rFonts w:ascii="Times New Roman" w:hAnsi="Times New Roman" w:cs="Times New Roman"/>
        </w:rPr>
        <w:t xml:space="preserve"> </w:t>
      </w:r>
      <w:r w:rsidRPr="00823DC0">
        <w:rPr>
          <w:rFonts w:ascii="Times New Roman" w:hAnsi="Times New Roman" w:cs="Times New Roman"/>
        </w:rPr>
        <w:t>(ЕУ)</w:t>
      </w:r>
      <w:r>
        <w:rPr>
          <w:rFonts w:ascii="Times New Roman" w:hAnsi="Times New Roman" w:cs="Times New Roman"/>
        </w:rPr>
        <w:t xml:space="preserve"> </w:t>
      </w:r>
      <w:r w:rsidRPr="00823DC0">
        <w:rPr>
          <w:rFonts w:ascii="Times New Roman" w:hAnsi="Times New Roman" w:cs="Times New Roman"/>
        </w:rPr>
        <w:t>2016/800</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Европскиот</w:t>
      </w:r>
      <w:r>
        <w:rPr>
          <w:rFonts w:ascii="Times New Roman" w:hAnsi="Times New Roman" w:cs="Times New Roman"/>
        </w:rPr>
        <w:t xml:space="preserve"> </w:t>
      </w:r>
      <w:r w:rsidRPr="00823DC0">
        <w:rPr>
          <w:rFonts w:ascii="Times New Roman" w:hAnsi="Times New Roman" w:cs="Times New Roman"/>
        </w:rPr>
        <w:t>парламент</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Советот</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11</w:t>
      </w:r>
      <w:r>
        <w:rPr>
          <w:rFonts w:ascii="Times New Roman" w:hAnsi="Times New Roman" w:cs="Times New Roman"/>
        </w:rPr>
        <w:t xml:space="preserve"> </w:t>
      </w:r>
      <w:r w:rsidRPr="00823DC0">
        <w:rPr>
          <w:rFonts w:ascii="Times New Roman" w:hAnsi="Times New Roman" w:cs="Times New Roman"/>
        </w:rPr>
        <w:t>мај</w:t>
      </w:r>
      <w:r>
        <w:rPr>
          <w:rFonts w:ascii="Times New Roman" w:hAnsi="Times New Roman" w:cs="Times New Roman"/>
        </w:rPr>
        <w:t xml:space="preserve"> </w:t>
      </w:r>
      <w:r w:rsidRPr="00823DC0">
        <w:rPr>
          <w:rFonts w:ascii="Times New Roman" w:hAnsi="Times New Roman" w:cs="Times New Roman"/>
        </w:rPr>
        <w:t>2016</w:t>
      </w:r>
      <w:r>
        <w:rPr>
          <w:rFonts w:ascii="Times New Roman" w:hAnsi="Times New Roman" w:cs="Times New Roman"/>
        </w:rPr>
        <w:t xml:space="preserve"> </w:t>
      </w:r>
      <w:r w:rsidRPr="00823DC0">
        <w:rPr>
          <w:rFonts w:ascii="Times New Roman" w:hAnsi="Times New Roman" w:cs="Times New Roman"/>
        </w:rPr>
        <w:t>година</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процесни</w:t>
      </w:r>
      <w:r>
        <w:rPr>
          <w:rFonts w:ascii="Times New Roman" w:hAnsi="Times New Roman" w:cs="Times New Roman"/>
        </w:rPr>
        <w:t xml:space="preserve"> </w:t>
      </w:r>
      <w:r w:rsidRPr="00823DC0">
        <w:rPr>
          <w:rFonts w:ascii="Times New Roman" w:hAnsi="Times New Roman" w:cs="Times New Roman"/>
        </w:rPr>
        <w:t>заштитни</w:t>
      </w:r>
      <w:r>
        <w:rPr>
          <w:rFonts w:ascii="Times New Roman" w:hAnsi="Times New Roman" w:cs="Times New Roman"/>
        </w:rPr>
        <w:t xml:space="preserve"> </w:t>
      </w:r>
      <w:r w:rsidRPr="00823DC0">
        <w:rPr>
          <w:rFonts w:ascii="Times New Roman" w:hAnsi="Times New Roman" w:cs="Times New Roman"/>
        </w:rPr>
        <w:t>мерки</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деца</w:t>
      </w:r>
      <w:r>
        <w:rPr>
          <w:rFonts w:ascii="Times New Roman" w:hAnsi="Times New Roman" w:cs="Times New Roman"/>
        </w:rPr>
        <w:t xml:space="preserve"> што </w:t>
      </w:r>
      <w:r w:rsidRPr="00823DC0">
        <w:rPr>
          <w:rFonts w:ascii="Times New Roman" w:hAnsi="Times New Roman" w:cs="Times New Roman"/>
        </w:rPr>
        <w:t>се</w:t>
      </w:r>
      <w:r>
        <w:rPr>
          <w:rFonts w:ascii="Times New Roman" w:hAnsi="Times New Roman" w:cs="Times New Roman"/>
        </w:rPr>
        <w:t xml:space="preserve"> </w:t>
      </w:r>
      <w:r w:rsidRPr="00823DC0">
        <w:rPr>
          <w:rFonts w:ascii="Times New Roman" w:hAnsi="Times New Roman" w:cs="Times New Roman"/>
        </w:rPr>
        <w:t>осомничени</w:t>
      </w:r>
      <w:r>
        <w:rPr>
          <w:rFonts w:ascii="Times New Roman" w:hAnsi="Times New Roman" w:cs="Times New Roman"/>
        </w:rPr>
        <w:t xml:space="preserve"> </w:t>
      </w:r>
      <w:r w:rsidRPr="00823DC0">
        <w:rPr>
          <w:rFonts w:ascii="Times New Roman" w:hAnsi="Times New Roman" w:cs="Times New Roman"/>
        </w:rPr>
        <w:t>или</w:t>
      </w:r>
      <w:r>
        <w:rPr>
          <w:rFonts w:ascii="Times New Roman" w:hAnsi="Times New Roman" w:cs="Times New Roman"/>
        </w:rPr>
        <w:t xml:space="preserve"> </w:t>
      </w:r>
      <w:r w:rsidRPr="00823DC0">
        <w:rPr>
          <w:rFonts w:ascii="Times New Roman" w:hAnsi="Times New Roman" w:cs="Times New Roman"/>
        </w:rPr>
        <w:t>обвинети</w:t>
      </w:r>
      <w:r>
        <w:rPr>
          <w:rFonts w:ascii="Times New Roman" w:hAnsi="Times New Roman" w:cs="Times New Roman"/>
        </w:rPr>
        <w:t xml:space="preserve"> </w:t>
      </w:r>
      <w:r w:rsidRPr="00823DC0">
        <w:rPr>
          <w:rFonts w:ascii="Times New Roman" w:hAnsi="Times New Roman" w:cs="Times New Roman"/>
        </w:rPr>
        <w:t>лица</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кривични</w:t>
      </w:r>
      <w:r>
        <w:rPr>
          <w:rFonts w:ascii="Times New Roman" w:hAnsi="Times New Roman" w:cs="Times New Roman"/>
        </w:rPr>
        <w:t xml:space="preserve"> </w:t>
      </w:r>
      <w:r w:rsidRPr="00823DC0">
        <w:rPr>
          <w:rFonts w:ascii="Times New Roman" w:hAnsi="Times New Roman" w:cs="Times New Roman"/>
        </w:rPr>
        <w:t>постапки,</w:t>
      </w:r>
      <w:r>
        <w:rPr>
          <w:rFonts w:ascii="Times New Roman" w:hAnsi="Times New Roman" w:cs="Times New Roman"/>
        </w:rPr>
        <w:t xml:space="preserve"> </w:t>
      </w:r>
      <w:r w:rsidRPr="00823DC0">
        <w:rPr>
          <w:rFonts w:ascii="Times New Roman" w:hAnsi="Times New Roman" w:cs="Times New Roman"/>
        </w:rPr>
        <w:t>Сл.</w:t>
      </w:r>
      <w:r>
        <w:rPr>
          <w:rFonts w:ascii="Times New Roman" w:hAnsi="Times New Roman" w:cs="Times New Roman"/>
        </w:rPr>
        <w:t xml:space="preserve"> </w:t>
      </w:r>
      <w:r w:rsidRPr="00823DC0">
        <w:rPr>
          <w:rFonts w:ascii="Times New Roman" w:hAnsi="Times New Roman" w:cs="Times New Roman"/>
        </w:rPr>
        <w:t>весник</w:t>
      </w:r>
      <w:r>
        <w:rPr>
          <w:rFonts w:ascii="Times New Roman" w:hAnsi="Times New Roman" w:cs="Times New Roman"/>
        </w:rPr>
        <w:t xml:space="preserve"> </w:t>
      </w:r>
      <w:r w:rsidRPr="00823DC0">
        <w:rPr>
          <w:rFonts w:ascii="Times New Roman" w:hAnsi="Times New Roman" w:cs="Times New Roman"/>
        </w:rPr>
        <w:t>L</w:t>
      </w:r>
      <w:r>
        <w:rPr>
          <w:rFonts w:ascii="Times New Roman" w:hAnsi="Times New Roman" w:cs="Times New Roman"/>
        </w:rPr>
        <w:t xml:space="preserve"> </w:t>
      </w:r>
      <w:r w:rsidRPr="00823DC0">
        <w:rPr>
          <w:rFonts w:ascii="Times New Roman" w:hAnsi="Times New Roman" w:cs="Times New Roman"/>
        </w:rPr>
        <w:t>132,</w:t>
      </w:r>
      <w:r>
        <w:rPr>
          <w:rFonts w:ascii="Times New Roman" w:hAnsi="Times New Roman" w:cs="Times New Roman"/>
        </w:rPr>
        <w:t xml:space="preserve"> </w:t>
      </w:r>
      <w:r w:rsidRPr="00823DC0">
        <w:rPr>
          <w:rFonts w:ascii="Times New Roman" w:hAnsi="Times New Roman" w:cs="Times New Roman"/>
        </w:rPr>
        <w:t>21.5</w:t>
      </w:r>
      <w:r>
        <w:rPr>
          <w:rFonts w:ascii="Times New Roman" w:hAnsi="Times New Roman" w:cs="Times New Roman"/>
        </w:rPr>
        <w:t xml:space="preserve">.2016 година, стр. 1 </w:t>
      </w:r>
      <w:r w:rsidRPr="009E3328">
        <w:rPr>
          <w:rFonts w:ascii="Times New Roman" w:hAnsi="Times New Roman" w:cs="Times New Roman"/>
        </w:rPr>
        <w:t>–</w:t>
      </w:r>
      <w:r>
        <w:rPr>
          <w:rFonts w:ascii="Times New Roman" w:hAnsi="Times New Roman" w:cs="Times New Roman"/>
        </w:rPr>
        <w:t xml:space="preserve"> </w:t>
      </w:r>
      <w:r w:rsidRPr="00823DC0">
        <w:rPr>
          <w:rFonts w:ascii="Times New Roman" w:hAnsi="Times New Roman" w:cs="Times New Roman"/>
        </w:rPr>
        <w:t>20.</w:t>
      </w:r>
    </w:p>
  </w:footnote>
  <w:footnote w:id="10">
    <w:p w14:paraId="7780A717" w14:textId="473E710E" w:rsidR="000E0AE9" w:rsidRDefault="000E0AE9" w:rsidP="006E4EB0">
      <w:pPr>
        <w:pStyle w:val="FootnoteText"/>
        <w:jc w:val="both"/>
        <w:rPr>
          <w:rFonts w:ascii="Times New Roman" w:hAnsi="Times New Roman" w:cs="Times New Roman"/>
        </w:rPr>
      </w:pPr>
      <w:r w:rsidRPr="00823DC0">
        <w:rPr>
          <w:rStyle w:val="FootnoteReference"/>
          <w:rFonts w:ascii="Times New Roman" w:hAnsi="Times New Roman" w:cs="Times New Roman"/>
        </w:rPr>
        <w:sym w:font="Symbol" w:char="F02A"/>
      </w:r>
      <w:r>
        <w:rPr>
          <w:rFonts w:ascii="Times New Roman" w:hAnsi="Times New Roman" w:cs="Times New Roman"/>
        </w:rPr>
        <w:t xml:space="preserve"> </w:t>
      </w:r>
      <w:r w:rsidRPr="00823DC0">
        <w:rPr>
          <w:rFonts w:ascii="Times New Roman" w:hAnsi="Times New Roman" w:cs="Times New Roman"/>
        </w:rPr>
        <w:t>Ов</w:t>
      </w:r>
      <w:r>
        <w:rPr>
          <w:rFonts w:ascii="Times New Roman" w:hAnsi="Times New Roman" w:cs="Times New Roman"/>
        </w:rPr>
        <w:t xml:space="preserve">ој назив </w:t>
      </w:r>
      <w:r w:rsidRPr="00823DC0">
        <w:rPr>
          <w:rFonts w:ascii="Times New Roman" w:hAnsi="Times New Roman" w:cs="Times New Roman"/>
        </w:rPr>
        <w:t>е</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согласност</w:t>
      </w:r>
      <w:r>
        <w:rPr>
          <w:rFonts w:ascii="Times New Roman" w:hAnsi="Times New Roman" w:cs="Times New Roman"/>
        </w:rPr>
        <w:t xml:space="preserve"> </w:t>
      </w:r>
      <w:r w:rsidRPr="00823DC0">
        <w:rPr>
          <w:rFonts w:ascii="Times New Roman" w:hAnsi="Times New Roman" w:cs="Times New Roman"/>
        </w:rPr>
        <w:t>со</w:t>
      </w:r>
      <w:r>
        <w:rPr>
          <w:rFonts w:ascii="Times New Roman" w:hAnsi="Times New Roman" w:cs="Times New Roman"/>
        </w:rPr>
        <w:t xml:space="preserve"> </w:t>
      </w:r>
      <w:r w:rsidRPr="00823DC0">
        <w:rPr>
          <w:rFonts w:ascii="Times New Roman" w:hAnsi="Times New Roman" w:cs="Times New Roman"/>
        </w:rPr>
        <w:t>Резолуцијата</w:t>
      </w:r>
      <w:r>
        <w:rPr>
          <w:rFonts w:ascii="Times New Roman" w:hAnsi="Times New Roman" w:cs="Times New Roman"/>
        </w:rPr>
        <w:t xml:space="preserve"> </w:t>
      </w:r>
      <w:r w:rsidRPr="00823DC0">
        <w:rPr>
          <w:rFonts w:ascii="Times New Roman" w:hAnsi="Times New Roman" w:cs="Times New Roman"/>
        </w:rPr>
        <w:t>1244</w:t>
      </w:r>
      <w:r>
        <w:rPr>
          <w:rFonts w:ascii="Times New Roman" w:hAnsi="Times New Roman" w:cs="Times New Roman"/>
        </w:rPr>
        <w:t xml:space="preserve"> </w:t>
      </w:r>
      <w:r w:rsidRPr="00823DC0">
        <w:rPr>
          <w:rFonts w:ascii="Times New Roman" w:hAnsi="Times New Roman" w:cs="Times New Roman"/>
        </w:rPr>
        <w:t>(1999)</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Советот</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безбедност</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ОН</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со</w:t>
      </w:r>
      <w:r>
        <w:rPr>
          <w:rFonts w:ascii="Times New Roman" w:hAnsi="Times New Roman" w:cs="Times New Roman"/>
        </w:rPr>
        <w:t xml:space="preserve"> М</w:t>
      </w:r>
      <w:r w:rsidRPr="00823DC0">
        <w:rPr>
          <w:rFonts w:ascii="Times New Roman" w:hAnsi="Times New Roman" w:cs="Times New Roman"/>
        </w:rPr>
        <w:t>ислењето</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Меѓународниот</w:t>
      </w:r>
      <w:r>
        <w:rPr>
          <w:rFonts w:ascii="Times New Roman" w:hAnsi="Times New Roman" w:cs="Times New Roman"/>
        </w:rPr>
        <w:t xml:space="preserve"> </w:t>
      </w:r>
      <w:r w:rsidRPr="00823DC0">
        <w:rPr>
          <w:rFonts w:ascii="Times New Roman" w:hAnsi="Times New Roman" w:cs="Times New Roman"/>
        </w:rPr>
        <w:t>суд</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правда</w:t>
      </w:r>
      <w:r>
        <w:rPr>
          <w:rFonts w:ascii="Times New Roman" w:hAnsi="Times New Roman" w:cs="Times New Roman"/>
        </w:rPr>
        <w:t xml:space="preserve">та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прогласување</w:t>
      </w:r>
      <w:r>
        <w:rPr>
          <w:rFonts w:ascii="Times New Roman" w:hAnsi="Times New Roman" w:cs="Times New Roman"/>
        </w:rPr>
        <w:t xml:space="preserve"> </w:t>
      </w:r>
      <w:r w:rsidRPr="00823DC0">
        <w:rPr>
          <w:rFonts w:ascii="Times New Roman" w:hAnsi="Times New Roman" w:cs="Times New Roman"/>
        </w:rPr>
        <w:t>независност</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Косово.</w:t>
      </w:r>
    </w:p>
  </w:footnote>
  <w:footnote w:id="11">
    <w:p w14:paraId="1D97068F" w14:textId="77777777" w:rsidR="000E0AE9" w:rsidRPr="00823DC0" w:rsidRDefault="000E0AE9" w:rsidP="006E4EB0">
      <w:pPr>
        <w:pStyle w:val="FootnoteText"/>
        <w:jc w:val="both"/>
        <w:rPr>
          <w:rFonts w:ascii="Times New Roman" w:hAnsi="Times New Roman" w:cs="Times New Roman"/>
        </w:rPr>
      </w:pPr>
      <w:r w:rsidRPr="00823DC0">
        <w:rPr>
          <w:rStyle w:val="FootnoteReference"/>
        </w:rPr>
        <w:footnoteRef/>
      </w:r>
      <w:r>
        <w:rPr>
          <w:rFonts w:ascii="Times New Roman" w:hAnsi="Times New Roman" w:cs="Times New Roman"/>
        </w:rPr>
        <w:t xml:space="preserve"> </w:t>
      </w:r>
      <w:r w:rsidRPr="00823DC0">
        <w:rPr>
          <w:rFonts w:ascii="Times New Roman" w:hAnsi="Times New Roman" w:cs="Times New Roman"/>
        </w:rPr>
        <w:t>Усогласени</w:t>
      </w:r>
      <w:r>
        <w:rPr>
          <w:rFonts w:ascii="Times New Roman" w:hAnsi="Times New Roman" w:cs="Times New Roman"/>
        </w:rPr>
        <w:t xml:space="preserve"> </w:t>
      </w:r>
      <w:r w:rsidRPr="00823DC0">
        <w:rPr>
          <w:rFonts w:ascii="Times New Roman" w:hAnsi="Times New Roman" w:cs="Times New Roman"/>
        </w:rPr>
        <w:t>со</w:t>
      </w:r>
      <w:r>
        <w:rPr>
          <w:rFonts w:ascii="Times New Roman" w:hAnsi="Times New Roman" w:cs="Times New Roman"/>
        </w:rPr>
        <w:t xml:space="preserve"> </w:t>
      </w:r>
      <w:r w:rsidRPr="00823DC0">
        <w:rPr>
          <w:rFonts w:ascii="Times New Roman" w:hAnsi="Times New Roman" w:cs="Times New Roman"/>
        </w:rPr>
        <w:t>целите</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клучните</w:t>
      </w:r>
      <w:r>
        <w:rPr>
          <w:rFonts w:ascii="Times New Roman" w:hAnsi="Times New Roman" w:cs="Times New Roman"/>
        </w:rPr>
        <w:t xml:space="preserve"> показатели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успешност</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Регионалниот</w:t>
      </w:r>
      <w:r>
        <w:rPr>
          <w:rFonts w:ascii="Times New Roman" w:hAnsi="Times New Roman" w:cs="Times New Roman"/>
        </w:rPr>
        <w:t xml:space="preserve"> </w:t>
      </w:r>
      <w:r w:rsidRPr="00823DC0">
        <w:rPr>
          <w:rFonts w:ascii="Times New Roman" w:hAnsi="Times New Roman" w:cs="Times New Roman"/>
        </w:rPr>
        <w:t>патоказ</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2018</w:t>
      </w:r>
      <w:r>
        <w:rPr>
          <w:rFonts w:ascii="Times New Roman" w:hAnsi="Times New Roman" w:cs="Times New Roman"/>
        </w:rPr>
        <w:t xml:space="preserve"> </w:t>
      </w:r>
      <w:r w:rsidRPr="00823DC0">
        <w:rPr>
          <w:rFonts w:ascii="Times New Roman" w:hAnsi="Times New Roman" w:cs="Times New Roman"/>
        </w:rPr>
        <w:t>година</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одржливо</w:t>
      </w:r>
      <w:r>
        <w:rPr>
          <w:rFonts w:ascii="Times New Roman" w:hAnsi="Times New Roman" w:cs="Times New Roman"/>
        </w:rPr>
        <w:t xml:space="preserve"> </w:t>
      </w:r>
      <w:r w:rsidRPr="00823DC0">
        <w:rPr>
          <w:rFonts w:ascii="Times New Roman" w:hAnsi="Times New Roman" w:cs="Times New Roman"/>
        </w:rPr>
        <w:t>решение</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нелегалното</w:t>
      </w:r>
      <w:r>
        <w:rPr>
          <w:rFonts w:ascii="Times New Roman" w:hAnsi="Times New Roman" w:cs="Times New Roman"/>
        </w:rPr>
        <w:t xml:space="preserve"> </w:t>
      </w:r>
      <w:r w:rsidRPr="00823DC0">
        <w:rPr>
          <w:rFonts w:ascii="Times New Roman" w:hAnsi="Times New Roman" w:cs="Times New Roman"/>
        </w:rPr>
        <w:t>поседување,</w:t>
      </w:r>
      <w:r>
        <w:rPr>
          <w:rFonts w:ascii="Times New Roman" w:hAnsi="Times New Roman" w:cs="Times New Roman"/>
        </w:rPr>
        <w:t xml:space="preserve"> </w:t>
      </w:r>
      <w:r w:rsidRPr="00823DC0">
        <w:rPr>
          <w:rFonts w:ascii="Times New Roman" w:hAnsi="Times New Roman" w:cs="Times New Roman"/>
        </w:rPr>
        <w:t>злоупотреба</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трговија</w:t>
      </w:r>
      <w:r>
        <w:rPr>
          <w:rFonts w:ascii="Times New Roman" w:hAnsi="Times New Roman" w:cs="Times New Roman"/>
        </w:rPr>
        <w:t xml:space="preserve"> </w:t>
      </w:r>
      <w:r w:rsidRPr="00823DC0">
        <w:rPr>
          <w:rFonts w:ascii="Times New Roman" w:hAnsi="Times New Roman" w:cs="Times New Roman"/>
        </w:rPr>
        <w:t>со</w:t>
      </w:r>
      <w:r>
        <w:rPr>
          <w:rFonts w:ascii="Times New Roman" w:hAnsi="Times New Roman" w:cs="Times New Roman"/>
        </w:rPr>
        <w:t xml:space="preserve"> </w:t>
      </w:r>
      <w:r w:rsidRPr="00823DC0">
        <w:rPr>
          <w:rFonts w:ascii="Times New Roman" w:hAnsi="Times New Roman" w:cs="Times New Roman"/>
        </w:rPr>
        <w:t>мало</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лесно</w:t>
      </w:r>
      <w:r>
        <w:rPr>
          <w:rFonts w:ascii="Times New Roman" w:hAnsi="Times New Roman" w:cs="Times New Roman"/>
        </w:rPr>
        <w:t xml:space="preserve"> </w:t>
      </w:r>
      <w:r w:rsidRPr="00823DC0">
        <w:rPr>
          <w:rFonts w:ascii="Times New Roman" w:hAnsi="Times New Roman" w:cs="Times New Roman"/>
        </w:rPr>
        <w:t>оружје</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муниција</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Западен</w:t>
      </w:r>
      <w:r>
        <w:rPr>
          <w:rFonts w:ascii="Times New Roman" w:hAnsi="Times New Roman" w:cs="Times New Roman"/>
        </w:rPr>
        <w:t xml:space="preserve"> </w:t>
      </w:r>
      <w:r w:rsidRPr="00823DC0">
        <w:rPr>
          <w:rFonts w:ascii="Times New Roman" w:hAnsi="Times New Roman" w:cs="Times New Roman"/>
        </w:rPr>
        <w:t>Балкан.</w:t>
      </w:r>
    </w:p>
  </w:footnote>
  <w:footnote w:id="12">
    <w:p w14:paraId="45E35053" w14:textId="00B8D05E" w:rsidR="000E0AE9" w:rsidRPr="00823DC0" w:rsidRDefault="000E0AE9" w:rsidP="006E4EB0">
      <w:pPr>
        <w:pStyle w:val="FootnoteText"/>
        <w:rPr>
          <w:rFonts w:ascii="Times New Roman" w:hAnsi="Times New Roman" w:cs="Times New Roman"/>
        </w:rPr>
      </w:pPr>
      <w:r w:rsidRPr="00823DC0">
        <w:rPr>
          <w:rStyle w:val="FootnoteReference"/>
        </w:rPr>
        <w:footnoteRef/>
      </w:r>
      <w:r>
        <w:rPr>
          <w:rFonts w:ascii="Times New Roman" w:hAnsi="Times New Roman" w:cs="Times New Roman"/>
        </w:rPr>
        <w:t xml:space="preserve"> </w:t>
      </w:r>
      <w:r w:rsidRPr="00823DC0">
        <w:rPr>
          <w:rFonts w:ascii="Times New Roman" w:hAnsi="Times New Roman" w:cs="Times New Roman"/>
        </w:rPr>
        <w:t>КОМ(2021)602</w:t>
      </w:r>
      <w:r>
        <w:rPr>
          <w:rFonts w:ascii="Times New Roman" w:hAnsi="Times New Roman" w:cs="Times New Roman"/>
        </w:rPr>
        <w:t xml:space="preserve"> последна </w:t>
      </w:r>
      <w:r w:rsidRPr="00823DC0">
        <w:rPr>
          <w:rFonts w:ascii="Times New Roman" w:hAnsi="Times New Roman" w:cs="Times New Roman"/>
        </w:rPr>
        <w:t>верзија</w:t>
      </w:r>
    </w:p>
  </w:footnote>
  <w:footnote w:id="13">
    <w:p w14:paraId="4B9E5352" w14:textId="77777777" w:rsidR="000E0AE9" w:rsidRPr="00EC7316" w:rsidRDefault="000E0AE9" w:rsidP="006E4EB0">
      <w:pPr>
        <w:autoSpaceDE w:val="0"/>
        <w:autoSpaceDN w:val="0"/>
        <w:adjustRightInd w:val="0"/>
        <w:spacing w:after="0" w:line="240" w:lineRule="auto"/>
        <w:jc w:val="both"/>
        <w:rPr>
          <w:rFonts w:ascii="Times New Roman" w:hAnsi="Times New Roman" w:cs="Times New Roman"/>
          <w:sz w:val="20"/>
          <w:szCs w:val="20"/>
        </w:rPr>
      </w:pPr>
      <w:r w:rsidRPr="00823DC0">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sidRPr="00EC7316">
        <w:rPr>
          <w:rFonts w:ascii="Times New Roman" w:hAnsi="Times New Roman" w:cs="Times New Roman"/>
          <w:sz w:val="20"/>
          <w:szCs w:val="20"/>
        </w:rPr>
        <w:t>Сепак, ова не ги зема предвид капиталните расходи извршени од вонбуџетски субјекти, а најзначајно е Јавното претпријатие за државни патишта, кое спроведува значителна повеќегодишна инвестициска програма од над 1 милијарда евра. Централната и локалната власт вообичаено учествуваат со околу една третина од вкупните инвестиции во јавниот сектор.</w:t>
      </w:r>
    </w:p>
  </w:footnote>
  <w:footnote w:id="14">
    <w:p w14:paraId="13EF5C04" w14:textId="77777777" w:rsidR="000E0AE9" w:rsidRPr="00823DC0" w:rsidRDefault="000E0AE9" w:rsidP="006E4EB0">
      <w:pPr>
        <w:pStyle w:val="FootnoteText"/>
        <w:rPr>
          <w:rFonts w:ascii="Times New Roman" w:hAnsi="Times New Roman" w:cs="Times New Roman"/>
        </w:rPr>
      </w:pPr>
      <w:r w:rsidRPr="00A50BBD">
        <w:rPr>
          <w:rStyle w:val="FootnoteReference"/>
          <w:rFonts w:ascii="Times New Roman" w:hAnsi="Times New Roman" w:cs="Times New Roman"/>
        </w:rPr>
        <w:footnoteRef/>
      </w:r>
      <w:r w:rsidRPr="00A50BBD">
        <w:rPr>
          <w:rFonts w:ascii="Times New Roman" w:hAnsi="Times New Roman" w:cs="Times New Roman"/>
        </w:rPr>
        <w:t xml:space="preserve"> Планираното зголемување од 5 % на 10 % е одложено од јули за декември 2022 година.</w:t>
      </w:r>
    </w:p>
  </w:footnote>
  <w:footnote w:id="15">
    <w:p w14:paraId="60A9B628" w14:textId="77777777" w:rsidR="000E0AE9" w:rsidRPr="00A50BBD" w:rsidRDefault="000E0AE9" w:rsidP="006E4EB0">
      <w:pPr>
        <w:pStyle w:val="FootnoteText"/>
        <w:jc w:val="both"/>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A50BBD">
        <w:rPr>
          <w:rFonts w:ascii="Times New Roman" w:hAnsi="Times New Roman" w:cs="Times New Roman"/>
        </w:rPr>
        <w:t xml:space="preserve">Види ги и наодите од Извештајот од ревизијата на успешност од април 2022 година за владините мерки за КОВИД-19 од Државниот завод за ревизија на Северна Македонија. </w:t>
      </w:r>
    </w:p>
  </w:footnote>
  <w:footnote w:id="16">
    <w:p w14:paraId="69BDF8EA" w14:textId="77777777" w:rsidR="000E0AE9" w:rsidRPr="003D4454" w:rsidRDefault="000E0AE9" w:rsidP="006E4EB0">
      <w:pPr>
        <w:pStyle w:val="FootnoteText"/>
        <w:rPr>
          <w:rFonts w:ascii="Times New Roman" w:hAnsi="Times New Roman" w:cs="Times New Roman"/>
        </w:rPr>
      </w:pPr>
      <w:r w:rsidRPr="00A50BBD">
        <w:rPr>
          <w:rStyle w:val="FootnoteReference"/>
          <w:rFonts w:ascii="Times New Roman" w:hAnsi="Times New Roman" w:cs="Times New Roman"/>
        </w:rPr>
        <w:footnoteRef/>
      </w:r>
      <w:r w:rsidRPr="003D4454">
        <w:rPr>
          <w:rFonts w:ascii="Times New Roman" w:hAnsi="Times New Roman" w:cs="Times New Roman"/>
        </w:rPr>
        <w:t xml:space="preserve"> Бројката на ММФ е во горниот опсег на процени.</w:t>
      </w:r>
    </w:p>
  </w:footnote>
  <w:footnote w:id="17">
    <w:p w14:paraId="380327CA" w14:textId="77777777" w:rsidR="000E0AE9" w:rsidRPr="00823DC0" w:rsidRDefault="000E0AE9" w:rsidP="006E4EB0">
      <w:pPr>
        <w:pStyle w:val="FootnoteText"/>
        <w:jc w:val="both"/>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823DC0">
        <w:rPr>
          <w:rFonts w:ascii="Times New Roman" w:hAnsi="Times New Roman" w:cs="Times New Roman"/>
        </w:rPr>
        <w:t>Бројките</w:t>
      </w:r>
      <w:r>
        <w:rPr>
          <w:rFonts w:ascii="Times New Roman" w:hAnsi="Times New Roman" w:cs="Times New Roman"/>
        </w:rPr>
        <w:t xml:space="preserve"> </w:t>
      </w:r>
      <w:r w:rsidRPr="00823DC0">
        <w:rPr>
          <w:rFonts w:ascii="Times New Roman" w:hAnsi="Times New Roman" w:cs="Times New Roman"/>
        </w:rPr>
        <w:t>се</w:t>
      </w:r>
      <w:r>
        <w:rPr>
          <w:rFonts w:ascii="Times New Roman" w:hAnsi="Times New Roman" w:cs="Times New Roman"/>
        </w:rPr>
        <w:t xml:space="preserve"> засноваат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информации</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Владата.</w:t>
      </w:r>
      <w:r>
        <w:rPr>
          <w:rFonts w:ascii="Times New Roman" w:hAnsi="Times New Roman" w:cs="Times New Roman"/>
        </w:rPr>
        <w:t xml:space="preserve"> </w:t>
      </w:r>
      <w:r w:rsidRPr="00823DC0">
        <w:rPr>
          <w:rFonts w:ascii="Times New Roman" w:hAnsi="Times New Roman" w:cs="Times New Roman"/>
        </w:rPr>
        <w:t>Новата</w:t>
      </w:r>
      <w:r>
        <w:rPr>
          <w:rFonts w:ascii="Times New Roman" w:hAnsi="Times New Roman" w:cs="Times New Roman"/>
        </w:rPr>
        <w:t xml:space="preserve"> </w:t>
      </w:r>
      <w:r w:rsidRPr="00823DC0">
        <w:rPr>
          <w:rFonts w:ascii="Times New Roman" w:hAnsi="Times New Roman" w:cs="Times New Roman"/>
        </w:rPr>
        <w:t>хармонизирана</w:t>
      </w:r>
      <w:r>
        <w:rPr>
          <w:rFonts w:ascii="Times New Roman" w:hAnsi="Times New Roman" w:cs="Times New Roman"/>
        </w:rPr>
        <w:t xml:space="preserve"> </w:t>
      </w:r>
      <w:r w:rsidRPr="00823DC0">
        <w:rPr>
          <w:rFonts w:ascii="Times New Roman" w:hAnsi="Times New Roman" w:cs="Times New Roman"/>
        </w:rPr>
        <w:t>и</w:t>
      </w:r>
      <w:r>
        <w:rPr>
          <w:rFonts w:ascii="Times New Roman" w:hAnsi="Times New Roman" w:cs="Times New Roman"/>
        </w:rPr>
        <w:t xml:space="preserve"> </w:t>
      </w:r>
      <w:r w:rsidRPr="00823DC0">
        <w:rPr>
          <w:rFonts w:ascii="Times New Roman" w:hAnsi="Times New Roman" w:cs="Times New Roman"/>
        </w:rPr>
        <w:t>меѓународно</w:t>
      </w:r>
      <w:r>
        <w:rPr>
          <w:rFonts w:ascii="Times New Roman" w:hAnsi="Times New Roman" w:cs="Times New Roman"/>
        </w:rPr>
        <w:t xml:space="preserve"> </w:t>
      </w:r>
      <w:r w:rsidRPr="00823DC0">
        <w:rPr>
          <w:rFonts w:ascii="Times New Roman" w:hAnsi="Times New Roman" w:cs="Times New Roman"/>
        </w:rPr>
        <w:t>стандардизирана</w:t>
      </w:r>
      <w:r>
        <w:rPr>
          <w:rFonts w:ascii="Times New Roman" w:hAnsi="Times New Roman" w:cs="Times New Roman"/>
        </w:rPr>
        <w:t xml:space="preserve"> </w:t>
      </w:r>
      <w:r w:rsidRPr="00823DC0">
        <w:rPr>
          <w:rFonts w:ascii="Times New Roman" w:hAnsi="Times New Roman" w:cs="Times New Roman"/>
        </w:rPr>
        <w:t>Глобална</w:t>
      </w:r>
      <w:r>
        <w:rPr>
          <w:rFonts w:ascii="Times New Roman" w:hAnsi="Times New Roman" w:cs="Times New Roman"/>
        </w:rPr>
        <w:t xml:space="preserve"> </w:t>
      </w:r>
      <w:r w:rsidRPr="00823DC0">
        <w:rPr>
          <w:rFonts w:ascii="Times New Roman" w:hAnsi="Times New Roman" w:cs="Times New Roman"/>
        </w:rPr>
        <w:t>база</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податоци</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државни</w:t>
      </w:r>
      <w:r>
        <w:rPr>
          <w:rFonts w:ascii="Times New Roman" w:hAnsi="Times New Roman" w:cs="Times New Roman"/>
        </w:rPr>
        <w:t xml:space="preserve"> </w:t>
      </w:r>
      <w:r w:rsidRPr="00823DC0">
        <w:rPr>
          <w:rFonts w:ascii="Times New Roman" w:hAnsi="Times New Roman" w:cs="Times New Roman"/>
        </w:rPr>
        <w:t>претпријатија</w:t>
      </w:r>
      <w:r>
        <w:rPr>
          <w:rFonts w:ascii="Times New Roman" w:hAnsi="Times New Roman" w:cs="Times New Roman"/>
        </w:rPr>
        <w:t xml:space="preserve"> </w:t>
      </w:r>
      <w:r w:rsidRPr="00823DC0">
        <w:rPr>
          <w:rFonts w:ascii="Times New Roman" w:hAnsi="Times New Roman" w:cs="Times New Roman"/>
        </w:rPr>
        <w:t>(ДП)</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Светската</w:t>
      </w:r>
      <w:r>
        <w:rPr>
          <w:rFonts w:ascii="Times New Roman" w:hAnsi="Times New Roman" w:cs="Times New Roman"/>
        </w:rPr>
        <w:t xml:space="preserve"> </w:t>
      </w:r>
      <w:r w:rsidRPr="00823DC0">
        <w:rPr>
          <w:rFonts w:ascii="Times New Roman" w:hAnsi="Times New Roman" w:cs="Times New Roman"/>
        </w:rPr>
        <w:t>банка</w:t>
      </w:r>
      <w:r>
        <w:rPr>
          <w:rFonts w:ascii="Times New Roman" w:hAnsi="Times New Roman" w:cs="Times New Roman"/>
        </w:rPr>
        <w:t xml:space="preserve"> </w:t>
      </w:r>
      <w:r w:rsidRPr="00823DC0">
        <w:rPr>
          <w:rFonts w:ascii="Times New Roman" w:hAnsi="Times New Roman" w:cs="Times New Roman"/>
        </w:rPr>
        <w:t>покажува</w:t>
      </w:r>
      <w:r>
        <w:rPr>
          <w:rFonts w:ascii="Times New Roman" w:hAnsi="Times New Roman" w:cs="Times New Roman"/>
        </w:rPr>
        <w:t xml:space="preserve"> </w:t>
      </w:r>
      <w:r w:rsidRPr="00823DC0">
        <w:rPr>
          <w:rFonts w:ascii="Times New Roman" w:hAnsi="Times New Roman" w:cs="Times New Roman"/>
        </w:rPr>
        <w:t>дека</w:t>
      </w:r>
      <w:r>
        <w:rPr>
          <w:rFonts w:ascii="Times New Roman" w:hAnsi="Times New Roman" w:cs="Times New Roman"/>
        </w:rPr>
        <w:t xml:space="preserve"> </w:t>
      </w:r>
      <w:r w:rsidRPr="00823DC0">
        <w:rPr>
          <w:rFonts w:ascii="Times New Roman" w:hAnsi="Times New Roman" w:cs="Times New Roman"/>
        </w:rPr>
        <w:t>има</w:t>
      </w:r>
      <w:r>
        <w:rPr>
          <w:rFonts w:ascii="Times New Roman" w:hAnsi="Times New Roman" w:cs="Times New Roman"/>
        </w:rPr>
        <w:t xml:space="preserve"> </w:t>
      </w:r>
      <w:r w:rsidRPr="00823DC0">
        <w:rPr>
          <w:rFonts w:ascii="Times New Roman" w:hAnsi="Times New Roman" w:cs="Times New Roman"/>
        </w:rPr>
        <w:t>88</w:t>
      </w:r>
      <w:r>
        <w:rPr>
          <w:rFonts w:ascii="Times New Roman" w:hAnsi="Times New Roman" w:cs="Times New Roman"/>
        </w:rPr>
        <w:t xml:space="preserve"> </w:t>
      </w:r>
      <w:r w:rsidRPr="00823DC0">
        <w:rPr>
          <w:rFonts w:ascii="Times New Roman" w:hAnsi="Times New Roman" w:cs="Times New Roman"/>
        </w:rPr>
        <w:t>државни</w:t>
      </w:r>
      <w:r>
        <w:rPr>
          <w:rFonts w:ascii="Times New Roman" w:hAnsi="Times New Roman" w:cs="Times New Roman"/>
        </w:rPr>
        <w:t xml:space="preserve"> </w:t>
      </w:r>
      <w:r w:rsidRPr="00823DC0">
        <w:rPr>
          <w:rFonts w:ascii="Times New Roman" w:hAnsi="Times New Roman" w:cs="Times New Roman"/>
        </w:rPr>
        <w:t>претпријатија,</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кои</w:t>
      </w:r>
      <w:r>
        <w:rPr>
          <w:rFonts w:ascii="Times New Roman" w:hAnsi="Times New Roman" w:cs="Times New Roman"/>
        </w:rPr>
        <w:t xml:space="preserve"> </w:t>
      </w:r>
      <w:r w:rsidRPr="00823DC0">
        <w:rPr>
          <w:rFonts w:ascii="Times New Roman" w:hAnsi="Times New Roman" w:cs="Times New Roman"/>
        </w:rPr>
        <w:t>35</w:t>
      </w:r>
      <w:r>
        <w:rPr>
          <w:rFonts w:ascii="Times New Roman" w:hAnsi="Times New Roman" w:cs="Times New Roman"/>
        </w:rPr>
        <w:t xml:space="preserve"> </w:t>
      </w:r>
      <w:r w:rsidRPr="00823DC0">
        <w:rPr>
          <w:rFonts w:ascii="Times New Roman" w:hAnsi="Times New Roman" w:cs="Times New Roman"/>
        </w:rPr>
        <w:t>се</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сопственост</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Владата</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Северна</w:t>
      </w:r>
      <w:r>
        <w:rPr>
          <w:rFonts w:ascii="Times New Roman" w:hAnsi="Times New Roman" w:cs="Times New Roman"/>
        </w:rPr>
        <w:t xml:space="preserve"> </w:t>
      </w:r>
      <w:r w:rsidRPr="00823DC0">
        <w:rPr>
          <w:rFonts w:ascii="Times New Roman" w:hAnsi="Times New Roman" w:cs="Times New Roman"/>
        </w:rPr>
        <w:t>Македонија</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100</w:t>
      </w:r>
      <w:r>
        <w:rPr>
          <w:rFonts w:ascii="Times New Roman" w:hAnsi="Times New Roman" w:cs="Times New Roman"/>
        </w:rPr>
        <w:t xml:space="preserve"> </w:t>
      </w:r>
      <w:r w:rsidRPr="00823DC0">
        <w:rPr>
          <w:rFonts w:ascii="Times New Roman" w:hAnsi="Times New Roman" w:cs="Times New Roman"/>
        </w:rPr>
        <w:t>процентна</w:t>
      </w:r>
      <w:r>
        <w:rPr>
          <w:rFonts w:ascii="Times New Roman" w:hAnsi="Times New Roman" w:cs="Times New Roman"/>
        </w:rPr>
        <w:t xml:space="preserve"> </w:t>
      </w:r>
      <w:r w:rsidRPr="00823DC0">
        <w:rPr>
          <w:rFonts w:ascii="Times New Roman" w:hAnsi="Times New Roman" w:cs="Times New Roman"/>
        </w:rPr>
        <w:t>сопственост.</w:t>
      </w:r>
    </w:p>
  </w:footnote>
  <w:footnote w:id="18">
    <w:p w14:paraId="6C1A30BE" w14:textId="77777777" w:rsidR="000E0AE9" w:rsidRPr="00823DC0" w:rsidRDefault="000E0AE9" w:rsidP="006E4EB0">
      <w:pPr>
        <w:pStyle w:val="FootnoteText"/>
        <w:jc w:val="both"/>
        <w:rPr>
          <w:rFonts w:ascii="Times New Roman" w:hAnsi="Times New Roman" w:cs="Times New Roman"/>
        </w:rPr>
      </w:pPr>
      <w:r w:rsidRPr="00823DC0">
        <w:rPr>
          <w:rStyle w:val="FootnoteReference"/>
          <w:rFonts w:ascii="Times New Roman" w:hAnsi="Times New Roman" w:cs="Times New Roman"/>
        </w:rPr>
        <w:footnoteRef/>
      </w:r>
      <w:r>
        <w:rPr>
          <w:rFonts w:ascii="Times New Roman" w:hAnsi="Times New Roman" w:cs="Times New Roman"/>
        </w:rPr>
        <w:t xml:space="preserve"> </w:t>
      </w:r>
      <w:r w:rsidRPr="00823DC0">
        <w:rPr>
          <w:rFonts w:ascii="Times New Roman" w:hAnsi="Times New Roman" w:cs="Times New Roman"/>
        </w:rPr>
        <w:t>Новиот</w:t>
      </w:r>
      <w:r>
        <w:rPr>
          <w:rFonts w:ascii="Times New Roman" w:hAnsi="Times New Roman" w:cs="Times New Roman"/>
        </w:rPr>
        <w:t xml:space="preserve"> </w:t>
      </w:r>
      <w:r w:rsidRPr="00823DC0">
        <w:rPr>
          <w:rFonts w:ascii="Times New Roman" w:hAnsi="Times New Roman" w:cs="Times New Roman"/>
        </w:rPr>
        <w:t>попис</w:t>
      </w:r>
      <w:r>
        <w:rPr>
          <w:rFonts w:ascii="Times New Roman" w:hAnsi="Times New Roman" w:cs="Times New Roman"/>
        </w:rPr>
        <w:t xml:space="preserve"> </w:t>
      </w:r>
      <w:r w:rsidRPr="00823DC0">
        <w:rPr>
          <w:rFonts w:ascii="Times New Roman" w:hAnsi="Times New Roman" w:cs="Times New Roman"/>
        </w:rPr>
        <w:t>подразбира</w:t>
      </w:r>
      <w:r>
        <w:rPr>
          <w:rFonts w:ascii="Times New Roman" w:hAnsi="Times New Roman" w:cs="Times New Roman"/>
        </w:rPr>
        <w:t xml:space="preserve"> </w:t>
      </w:r>
      <w:r w:rsidRPr="00823DC0">
        <w:rPr>
          <w:rFonts w:ascii="Times New Roman" w:hAnsi="Times New Roman" w:cs="Times New Roman"/>
        </w:rPr>
        <w:t>структурна</w:t>
      </w:r>
      <w:r>
        <w:rPr>
          <w:rFonts w:ascii="Times New Roman" w:hAnsi="Times New Roman" w:cs="Times New Roman"/>
        </w:rPr>
        <w:t xml:space="preserve"> </w:t>
      </w:r>
      <w:r w:rsidRPr="00823DC0">
        <w:rPr>
          <w:rFonts w:ascii="Times New Roman" w:hAnsi="Times New Roman" w:cs="Times New Roman"/>
        </w:rPr>
        <w:t>промена</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податоците</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пазарот</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труд,</w:t>
      </w:r>
      <w:r>
        <w:rPr>
          <w:rFonts w:ascii="Times New Roman" w:hAnsi="Times New Roman" w:cs="Times New Roman"/>
        </w:rPr>
        <w:t xml:space="preserve"> </w:t>
      </w:r>
      <w:r w:rsidRPr="00823DC0">
        <w:rPr>
          <w:rFonts w:ascii="Times New Roman" w:hAnsi="Times New Roman" w:cs="Times New Roman"/>
        </w:rPr>
        <w:t>што</w:t>
      </w:r>
      <w:r>
        <w:rPr>
          <w:rFonts w:ascii="Times New Roman" w:hAnsi="Times New Roman" w:cs="Times New Roman"/>
        </w:rPr>
        <w:t xml:space="preserve"> </w:t>
      </w:r>
      <w:r w:rsidRPr="00823DC0">
        <w:rPr>
          <w:rFonts w:ascii="Times New Roman" w:hAnsi="Times New Roman" w:cs="Times New Roman"/>
        </w:rPr>
        <w:t>влијае</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резултатите</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Анкетата</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работната</w:t>
      </w:r>
      <w:r>
        <w:rPr>
          <w:rFonts w:ascii="Times New Roman" w:hAnsi="Times New Roman" w:cs="Times New Roman"/>
        </w:rPr>
        <w:t xml:space="preserve"> </w:t>
      </w:r>
      <w:r w:rsidRPr="00823DC0">
        <w:rPr>
          <w:rFonts w:ascii="Times New Roman" w:hAnsi="Times New Roman" w:cs="Times New Roman"/>
        </w:rPr>
        <w:t>сила.</w:t>
      </w:r>
      <w:r>
        <w:rPr>
          <w:rFonts w:ascii="Times New Roman" w:hAnsi="Times New Roman" w:cs="Times New Roman"/>
        </w:rPr>
        <w:t xml:space="preserve"> </w:t>
      </w:r>
      <w:r w:rsidRPr="00823DC0">
        <w:rPr>
          <w:rFonts w:ascii="Times New Roman" w:hAnsi="Times New Roman" w:cs="Times New Roman"/>
        </w:rPr>
        <w:t>Оттука,</w:t>
      </w:r>
      <w:r>
        <w:rPr>
          <w:rFonts w:ascii="Times New Roman" w:hAnsi="Times New Roman" w:cs="Times New Roman"/>
        </w:rPr>
        <w:t xml:space="preserve"> </w:t>
      </w:r>
      <w:r w:rsidRPr="00823DC0">
        <w:rPr>
          <w:rFonts w:ascii="Times New Roman" w:hAnsi="Times New Roman" w:cs="Times New Roman"/>
        </w:rPr>
        <w:t>како</w:t>
      </w:r>
      <w:r>
        <w:rPr>
          <w:rFonts w:ascii="Times New Roman" w:hAnsi="Times New Roman" w:cs="Times New Roman"/>
        </w:rPr>
        <w:t xml:space="preserve"> </w:t>
      </w:r>
      <w:r w:rsidRPr="00823DC0">
        <w:rPr>
          <w:rFonts w:ascii="Times New Roman" w:hAnsi="Times New Roman" w:cs="Times New Roman"/>
        </w:rPr>
        <w:t>што</w:t>
      </w:r>
      <w:r>
        <w:rPr>
          <w:rFonts w:ascii="Times New Roman" w:hAnsi="Times New Roman" w:cs="Times New Roman"/>
        </w:rPr>
        <w:t xml:space="preserve"> </w:t>
      </w:r>
      <w:r w:rsidRPr="00823DC0">
        <w:rPr>
          <w:rFonts w:ascii="Times New Roman" w:hAnsi="Times New Roman" w:cs="Times New Roman"/>
        </w:rPr>
        <w:t>посочува</w:t>
      </w:r>
      <w:r>
        <w:rPr>
          <w:rFonts w:ascii="Times New Roman" w:hAnsi="Times New Roman" w:cs="Times New Roman"/>
        </w:rPr>
        <w:t xml:space="preserve"> </w:t>
      </w:r>
      <w:r w:rsidRPr="00823DC0">
        <w:rPr>
          <w:rFonts w:ascii="Times New Roman" w:hAnsi="Times New Roman" w:cs="Times New Roman"/>
        </w:rPr>
        <w:t>Заводот</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статистика,</w:t>
      </w:r>
      <w:r>
        <w:rPr>
          <w:rFonts w:ascii="Times New Roman" w:hAnsi="Times New Roman" w:cs="Times New Roman"/>
        </w:rPr>
        <w:t xml:space="preserve"> </w:t>
      </w:r>
      <w:r w:rsidRPr="00823DC0">
        <w:rPr>
          <w:rFonts w:ascii="Times New Roman" w:hAnsi="Times New Roman" w:cs="Times New Roman"/>
        </w:rPr>
        <w:t>тоа</w:t>
      </w:r>
      <w:r>
        <w:rPr>
          <w:rFonts w:ascii="Times New Roman" w:hAnsi="Times New Roman" w:cs="Times New Roman"/>
        </w:rPr>
        <w:t xml:space="preserve"> </w:t>
      </w:r>
      <w:r w:rsidRPr="00823DC0">
        <w:rPr>
          <w:rFonts w:ascii="Times New Roman" w:hAnsi="Times New Roman" w:cs="Times New Roman"/>
        </w:rPr>
        <w:t>влијае</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споредливоста</w:t>
      </w:r>
      <w:r>
        <w:rPr>
          <w:rFonts w:ascii="Times New Roman" w:hAnsi="Times New Roman" w:cs="Times New Roman"/>
        </w:rPr>
        <w:t xml:space="preserve"> </w:t>
      </w:r>
      <w:r w:rsidRPr="00823DC0">
        <w:rPr>
          <w:rFonts w:ascii="Times New Roman" w:hAnsi="Times New Roman" w:cs="Times New Roman"/>
        </w:rPr>
        <w:t>со</w:t>
      </w:r>
      <w:r>
        <w:rPr>
          <w:rFonts w:ascii="Times New Roman" w:hAnsi="Times New Roman" w:cs="Times New Roman"/>
        </w:rPr>
        <w:t xml:space="preserve"> </w:t>
      </w:r>
      <w:r w:rsidRPr="00823DC0">
        <w:rPr>
          <w:rFonts w:ascii="Times New Roman" w:hAnsi="Times New Roman" w:cs="Times New Roman"/>
        </w:rPr>
        <w:t>податоците</w:t>
      </w:r>
      <w:r>
        <w:rPr>
          <w:rFonts w:ascii="Times New Roman" w:hAnsi="Times New Roman" w:cs="Times New Roman"/>
        </w:rPr>
        <w:t xml:space="preserve"> </w:t>
      </w:r>
      <w:r w:rsidRPr="00823DC0">
        <w:rPr>
          <w:rFonts w:ascii="Times New Roman" w:hAnsi="Times New Roman" w:cs="Times New Roman"/>
        </w:rPr>
        <w:t>од</w:t>
      </w:r>
      <w:r>
        <w:rPr>
          <w:rFonts w:ascii="Times New Roman" w:hAnsi="Times New Roman" w:cs="Times New Roman"/>
        </w:rPr>
        <w:t xml:space="preserve"> </w:t>
      </w:r>
      <w:r w:rsidRPr="00823DC0">
        <w:rPr>
          <w:rFonts w:ascii="Times New Roman" w:hAnsi="Times New Roman" w:cs="Times New Roman"/>
        </w:rPr>
        <w:t>претходните</w:t>
      </w:r>
      <w:r>
        <w:rPr>
          <w:rFonts w:ascii="Times New Roman" w:hAnsi="Times New Roman" w:cs="Times New Roman"/>
        </w:rPr>
        <w:t xml:space="preserve"> </w:t>
      </w:r>
      <w:r w:rsidRPr="00823DC0">
        <w:rPr>
          <w:rFonts w:ascii="Times New Roman" w:hAnsi="Times New Roman" w:cs="Times New Roman"/>
        </w:rPr>
        <w:t>години.</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споредба</w:t>
      </w:r>
      <w:r>
        <w:rPr>
          <w:rFonts w:ascii="Times New Roman" w:hAnsi="Times New Roman" w:cs="Times New Roman"/>
        </w:rPr>
        <w:t xml:space="preserve"> </w:t>
      </w:r>
      <w:r w:rsidRPr="00823DC0">
        <w:rPr>
          <w:rFonts w:ascii="Times New Roman" w:hAnsi="Times New Roman" w:cs="Times New Roman"/>
        </w:rPr>
        <w:t>со</w:t>
      </w:r>
      <w:r>
        <w:rPr>
          <w:rFonts w:ascii="Times New Roman" w:hAnsi="Times New Roman" w:cs="Times New Roman"/>
        </w:rPr>
        <w:t xml:space="preserve"> </w:t>
      </w:r>
      <w:r w:rsidRPr="00823DC0">
        <w:rPr>
          <w:rFonts w:ascii="Times New Roman" w:hAnsi="Times New Roman" w:cs="Times New Roman"/>
        </w:rPr>
        <w:t>првиот</w:t>
      </w:r>
      <w:r>
        <w:rPr>
          <w:rFonts w:ascii="Times New Roman" w:hAnsi="Times New Roman" w:cs="Times New Roman"/>
        </w:rPr>
        <w:t xml:space="preserve"> </w:t>
      </w:r>
      <w:r w:rsidRPr="00823DC0">
        <w:rPr>
          <w:rFonts w:ascii="Times New Roman" w:hAnsi="Times New Roman" w:cs="Times New Roman"/>
        </w:rPr>
        <w:t>квартал</w:t>
      </w:r>
      <w:r>
        <w:rPr>
          <w:rFonts w:ascii="Times New Roman" w:hAnsi="Times New Roman" w:cs="Times New Roman"/>
        </w:rPr>
        <w:t xml:space="preserve"> од </w:t>
      </w:r>
      <w:r w:rsidRPr="00823DC0">
        <w:rPr>
          <w:rFonts w:ascii="Times New Roman" w:hAnsi="Times New Roman" w:cs="Times New Roman"/>
        </w:rPr>
        <w:t>2022</w:t>
      </w:r>
      <w:r>
        <w:rPr>
          <w:rFonts w:ascii="Times New Roman" w:hAnsi="Times New Roman" w:cs="Times New Roman"/>
        </w:rPr>
        <w:t xml:space="preserve"> </w:t>
      </w:r>
      <w:r w:rsidRPr="00823DC0">
        <w:rPr>
          <w:rFonts w:ascii="Times New Roman" w:hAnsi="Times New Roman" w:cs="Times New Roman"/>
        </w:rPr>
        <w:t>година,</w:t>
      </w:r>
      <w:r>
        <w:rPr>
          <w:rFonts w:ascii="Times New Roman" w:hAnsi="Times New Roman" w:cs="Times New Roman"/>
        </w:rPr>
        <w:t xml:space="preserve"> </w:t>
      </w:r>
      <w:r w:rsidRPr="00823DC0">
        <w:rPr>
          <w:rFonts w:ascii="Times New Roman" w:hAnsi="Times New Roman" w:cs="Times New Roman"/>
        </w:rPr>
        <w:t>работната</w:t>
      </w:r>
      <w:r>
        <w:rPr>
          <w:rFonts w:ascii="Times New Roman" w:hAnsi="Times New Roman" w:cs="Times New Roman"/>
        </w:rPr>
        <w:t xml:space="preserve"> </w:t>
      </w:r>
      <w:r w:rsidRPr="00823DC0">
        <w:rPr>
          <w:rFonts w:ascii="Times New Roman" w:hAnsi="Times New Roman" w:cs="Times New Roman"/>
        </w:rPr>
        <w:t>сила</w:t>
      </w:r>
      <w:r>
        <w:rPr>
          <w:rFonts w:ascii="Times New Roman" w:hAnsi="Times New Roman" w:cs="Times New Roman"/>
        </w:rPr>
        <w:t xml:space="preserve"> </w:t>
      </w:r>
      <w:r w:rsidRPr="00823DC0">
        <w:rPr>
          <w:rFonts w:ascii="Times New Roman" w:hAnsi="Times New Roman" w:cs="Times New Roman"/>
        </w:rPr>
        <w:t>(15-64)</w:t>
      </w:r>
      <w:r>
        <w:rPr>
          <w:rFonts w:ascii="Times New Roman" w:hAnsi="Times New Roman" w:cs="Times New Roman"/>
        </w:rPr>
        <w:t xml:space="preserve"> </w:t>
      </w:r>
      <w:r w:rsidRPr="00823DC0">
        <w:rPr>
          <w:rFonts w:ascii="Times New Roman" w:hAnsi="Times New Roman" w:cs="Times New Roman"/>
        </w:rPr>
        <w:t>благо</w:t>
      </w:r>
      <w:r>
        <w:rPr>
          <w:rFonts w:ascii="Times New Roman" w:hAnsi="Times New Roman" w:cs="Times New Roman"/>
        </w:rPr>
        <w:t xml:space="preserve"> </w:t>
      </w:r>
      <w:r w:rsidRPr="00823DC0">
        <w:rPr>
          <w:rFonts w:ascii="Times New Roman" w:hAnsi="Times New Roman" w:cs="Times New Roman"/>
        </w:rPr>
        <w:t>порасна</w:t>
      </w:r>
      <w:r>
        <w:rPr>
          <w:rFonts w:ascii="Times New Roman" w:hAnsi="Times New Roman" w:cs="Times New Roman"/>
        </w:rPr>
        <w:t xml:space="preserve"> </w:t>
      </w:r>
      <w:r w:rsidRPr="00823DC0">
        <w:rPr>
          <w:rFonts w:ascii="Times New Roman" w:hAnsi="Times New Roman" w:cs="Times New Roman"/>
        </w:rPr>
        <w:t>во</w:t>
      </w:r>
      <w:r>
        <w:rPr>
          <w:rFonts w:ascii="Times New Roman" w:hAnsi="Times New Roman" w:cs="Times New Roman"/>
        </w:rPr>
        <w:t xml:space="preserve"> </w:t>
      </w:r>
      <w:r w:rsidRPr="00823DC0">
        <w:rPr>
          <w:rFonts w:ascii="Times New Roman" w:hAnsi="Times New Roman" w:cs="Times New Roman"/>
        </w:rPr>
        <w:t>вториот</w:t>
      </w:r>
      <w:r>
        <w:rPr>
          <w:rFonts w:ascii="Times New Roman" w:hAnsi="Times New Roman" w:cs="Times New Roman"/>
        </w:rPr>
        <w:t xml:space="preserve"> </w:t>
      </w:r>
      <w:r w:rsidRPr="00823DC0">
        <w:rPr>
          <w:rFonts w:ascii="Times New Roman" w:hAnsi="Times New Roman" w:cs="Times New Roman"/>
        </w:rPr>
        <w:t>квартал,</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0,1</w:t>
      </w:r>
      <w:r>
        <w:rPr>
          <w:rFonts w:ascii="Times New Roman" w:hAnsi="Times New Roman" w:cs="Times New Roman"/>
        </w:rPr>
        <w:t xml:space="preserve"> </w:t>
      </w:r>
      <w:r w:rsidRPr="00823DC0">
        <w:rPr>
          <w:rFonts w:ascii="Times New Roman" w:hAnsi="Times New Roman" w:cs="Times New Roman"/>
        </w:rPr>
        <w:t>пп,</w:t>
      </w:r>
      <w:r>
        <w:rPr>
          <w:rFonts w:ascii="Times New Roman" w:hAnsi="Times New Roman" w:cs="Times New Roman"/>
        </w:rPr>
        <w:t xml:space="preserve"> </w:t>
      </w:r>
      <w:r w:rsidRPr="00823DC0">
        <w:rPr>
          <w:rFonts w:ascii="Times New Roman" w:hAnsi="Times New Roman" w:cs="Times New Roman"/>
        </w:rPr>
        <w:t>а</w:t>
      </w:r>
      <w:r>
        <w:rPr>
          <w:rFonts w:ascii="Times New Roman" w:hAnsi="Times New Roman" w:cs="Times New Roman"/>
        </w:rPr>
        <w:t xml:space="preserve"> </w:t>
      </w:r>
      <w:r w:rsidRPr="00823DC0">
        <w:rPr>
          <w:rFonts w:ascii="Times New Roman" w:hAnsi="Times New Roman" w:cs="Times New Roman"/>
        </w:rPr>
        <w:t>стапката</w:t>
      </w:r>
      <w:r>
        <w:rPr>
          <w:rFonts w:ascii="Times New Roman" w:hAnsi="Times New Roman" w:cs="Times New Roman"/>
        </w:rPr>
        <w:t xml:space="preserve"> </w:t>
      </w:r>
      <w:r w:rsidRPr="00823DC0">
        <w:rPr>
          <w:rFonts w:ascii="Times New Roman" w:hAnsi="Times New Roman" w:cs="Times New Roman"/>
        </w:rPr>
        <w:t>на</w:t>
      </w:r>
      <w:r>
        <w:rPr>
          <w:rFonts w:ascii="Times New Roman" w:hAnsi="Times New Roman" w:cs="Times New Roman"/>
        </w:rPr>
        <w:t xml:space="preserve"> </w:t>
      </w:r>
      <w:r w:rsidRPr="00823DC0">
        <w:rPr>
          <w:rFonts w:ascii="Times New Roman" w:hAnsi="Times New Roman" w:cs="Times New Roman"/>
        </w:rPr>
        <w:t>невработеност</w:t>
      </w:r>
      <w:r>
        <w:rPr>
          <w:rFonts w:ascii="Times New Roman" w:hAnsi="Times New Roman" w:cs="Times New Roman"/>
        </w:rPr>
        <w:t xml:space="preserve"> </w:t>
      </w:r>
      <w:r w:rsidRPr="00823DC0">
        <w:rPr>
          <w:rFonts w:ascii="Times New Roman" w:hAnsi="Times New Roman" w:cs="Times New Roman"/>
        </w:rPr>
        <w:t>се</w:t>
      </w:r>
      <w:r>
        <w:rPr>
          <w:rFonts w:ascii="Times New Roman" w:hAnsi="Times New Roman" w:cs="Times New Roman"/>
        </w:rPr>
        <w:t xml:space="preserve"> </w:t>
      </w:r>
      <w:r w:rsidRPr="00823DC0">
        <w:rPr>
          <w:rFonts w:ascii="Times New Roman" w:hAnsi="Times New Roman" w:cs="Times New Roman"/>
        </w:rPr>
        <w:t>намали</w:t>
      </w:r>
      <w:r>
        <w:rPr>
          <w:rFonts w:ascii="Times New Roman" w:hAnsi="Times New Roman" w:cs="Times New Roman"/>
        </w:rPr>
        <w:t xml:space="preserve"> </w:t>
      </w:r>
      <w:r w:rsidRPr="00823DC0">
        <w:rPr>
          <w:rFonts w:ascii="Times New Roman" w:hAnsi="Times New Roman" w:cs="Times New Roman"/>
        </w:rPr>
        <w:t>за</w:t>
      </w:r>
      <w:r>
        <w:rPr>
          <w:rFonts w:ascii="Times New Roman" w:hAnsi="Times New Roman" w:cs="Times New Roman"/>
        </w:rPr>
        <w:t xml:space="preserve"> </w:t>
      </w:r>
      <w:r w:rsidRPr="00823DC0">
        <w:rPr>
          <w:rFonts w:ascii="Times New Roman" w:hAnsi="Times New Roman" w:cs="Times New Roman"/>
        </w:rPr>
        <w:t>0,2</w:t>
      </w:r>
      <w:r>
        <w:rPr>
          <w:rFonts w:ascii="Times New Roman" w:hAnsi="Times New Roman" w:cs="Times New Roman"/>
        </w:rPr>
        <w:t xml:space="preserve"> </w:t>
      </w:r>
      <w:r w:rsidRPr="00823DC0">
        <w:rPr>
          <w:rFonts w:ascii="Times New Roman" w:hAnsi="Times New Roman" w:cs="Times New Roman"/>
        </w:rPr>
        <w:t>пп,</w:t>
      </w:r>
      <w:r>
        <w:rPr>
          <w:rFonts w:ascii="Times New Roman" w:hAnsi="Times New Roman" w:cs="Times New Roman"/>
        </w:rPr>
        <w:t xml:space="preserve"> </w:t>
      </w:r>
      <w:r w:rsidRPr="00823DC0">
        <w:rPr>
          <w:rFonts w:ascii="Times New Roman" w:hAnsi="Times New Roman" w:cs="Times New Roman"/>
        </w:rPr>
        <w:t>делумно</w:t>
      </w:r>
      <w:r>
        <w:rPr>
          <w:rFonts w:ascii="Times New Roman" w:hAnsi="Times New Roman" w:cs="Times New Roman"/>
        </w:rPr>
        <w:t xml:space="preserve"> </w:t>
      </w:r>
      <w:r w:rsidRPr="00823DC0">
        <w:rPr>
          <w:rFonts w:ascii="Times New Roman" w:hAnsi="Times New Roman" w:cs="Times New Roman"/>
        </w:rPr>
        <w:t>одразувајќи</w:t>
      </w:r>
      <w:r>
        <w:rPr>
          <w:rFonts w:ascii="Times New Roman" w:hAnsi="Times New Roman" w:cs="Times New Roman"/>
        </w:rPr>
        <w:t xml:space="preserve"> </w:t>
      </w:r>
      <w:r w:rsidRPr="00823DC0">
        <w:rPr>
          <w:rFonts w:ascii="Times New Roman" w:hAnsi="Times New Roman" w:cs="Times New Roman"/>
        </w:rPr>
        <w:t>ги</w:t>
      </w:r>
      <w:r>
        <w:rPr>
          <w:rFonts w:ascii="Times New Roman" w:hAnsi="Times New Roman" w:cs="Times New Roman"/>
        </w:rPr>
        <w:t xml:space="preserve"> </w:t>
      </w:r>
      <w:r w:rsidRPr="00823DC0">
        <w:rPr>
          <w:rFonts w:ascii="Times New Roman" w:hAnsi="Times New Roman" w:cs="Times New Roman"/>
        </w:rPr>
        <w:t>сезонските</w:t>
      </w:r>
      <w:r>
        <w:rPr>
          <w:rFonts w:ascii="Times New Roman" w:hAnsi="Times New Roman" w:cs="Times New Roman"/>
        </w:rPr>
        <w:t xml:space="preserve"> влијанија</w:t>
      </w:r>
      <w:r w:rsidRPr="00823DC0">
        <w:rPr>
          <w:rFonts w:ascii="Times New Roman" w:hAnsi="Times New Roman" w:cs="Times New Roman"/>
        </w:rPr>
        <w:t>.</w:t>
      </w:r>
      <w:r>
        <w:rPr>
          <w:rFonts w:ascii="Times New Roman" w:hAnsi="Times New Roman" w:cs="Times New Roman"/>
        </w:rPr>
        <w:t xml:space="preserve"> </w:t>
      </w:r>
    </w:p>
  </w:footnote>
  <w:footnote w:id="19">
    <w:p w14:paraId="43CCEA5A" w14:textId="2069C06A" w:rsidR="000E0AE9" w:rsidRPr="00953F9D" w:rsidRDefault="000E0AE9" w:rsidP="006E4EB0">
      <w:pPr>
        <w:pStyle w:val="FootnoteText"/>
        <w:jc w:val="both"/>
        <w:rPr>
          <w:rFonts w:ascii="Times New Roman" w:hAnsi="Times New Roman"/>
        </w:rPr>
      </w:pPr>
      <w:r>
        <w:rPr>
          <w:rStyle w:val="FootnoteReference"/>
        </w:rPr>
        <w:footnoteRef/>
      </w:r>
      <w:r>
        <w:rPr>
          <w:rFonts w:ascii="Times New Roman" w:hAnsi="Times New Roman"/>
        </w:rPr>
        <w:t xml:space="preserve"> </w:t>
      </w:r>
      <w:r w:rsidRPr="00CA1CEB">
        <w:rPr>
          <w:rFonts w:ascii="Times New Roman" w:hAnsi="Times New Roman"/>
        </w:rPr>
        <w:t>Северна</w:t>
      </w:r>
      <w:r>
        <w:rPr>
          <w:rFonts w:ascii="Times New Roman" w:hAnsi="Times New Roman"/>
        </w:rPr>
        <w:t xml:space="preserve"> </w:t>
      </w:r>
      <w:r w:rsidRPr="00CA1CEB">
        <w:rPr>
          <w:rFonts w:ascii="Times New Roman" w:hAnsi="Times New Roman"/>
        </w:rPr>
        <w:t>Македонија,</w:t>
      </w:r>
      <w:r>
        <w:rPr>
          <w:rFonts w:ascii="Times New Roman" w:hAnsi="Times New Roman"/>
        </w:rPr>
        <w:t xml:space="preserve"> </w:t>
      </w:r>
      <w:r w:rsidRPr="00CA1CEB">
        <w:rPr>
          <w:rFonts w:ascii="Times New Roman" w:hAnsi="Times New Roman"/>
        </w:rPr>
        <w:t>исто</w:t>
      </w:r>
      <w:r>
        <w:rPr>
          <w:rFonts w:ascii="Times New Roman" w:hAnsi="Times New Roman"/>
        </w:rPr>
        <w:t xml:space="preserve"> </w:t>
      </w:r>
      <w:r w:rsidRPr="00CA1CEB">
        <w:rPr>
          <w:rFonts w:ascii="Times New Roman" w:hAnsi="Times New Roman"/>
        </w:rPr>
        <w:t>така,</w:t>
      </w:r>
      <w:r>
        <w:rPr>
          <w:rFonts w:ascii="Times New Roman" w:hAnsi="Times New Roman"/>
        </w:rPr>
        <w:t xml:space="preserve"> </w:t>
      </w:r>
      <w:r w:rsidRPr="00CA1CEB">
        <w:rPr>
          <w:rFonts w:ascii="Times New Roman" w:hAnsi="Times New Roman"/>
        </w:rPr>
        <w:t>учествува</w:t>
      </w:r>
      <w:r>
        <w:rPr>
          <w:rFonts w:ascii="Times New Roman" w:hAnsi="Times New Roman"/>
        </w:rPr>
        <w:t xml:space="preserve"> </w:t>
      </w:r>
      <w:r w:rsidRPr="00CA1CEB">
        <w:rPr>
          <w:rFonts w:ascii="Times New Roman" w:hAnsi="Times New Roman"/>
        </w:rPr>
        <w:t>во</w:t>
      </w:r>
      <w:r>
        <w:rPr>
          <w:rFonts w:ascii="Times New Roman" w:hAnsi="Times New Roman"/>
        </w:rPr>
        <w:t xml:space="preserve"> </w:t>
      </w:r>
      <w:r w:rsidRPr="00CA1CEB">
        <w:rPr>
          <w:rFonts w:ascii="Times New Roman" w:hAnsi="Times New Roman"/>
        </w:rPr>
        <w:t>процесот</w:t>
      </w:r>
      <w:r>
        <w:rPr>
          <w:rFonts w:ascii="Times New Roman" w:hAnsi="Times New Roman"/>
        </w:rPr>
        <w:t xml:space="preserve"> </w:t>
      </w:r>
      <w:r w:rsidRPr="00CA1CEB">
        <w:rPr>
          <w:rFonts w:ascii="Times New Roman" w:hAnsi="Times New Roman"/>
        </w:rPr>
        <w:t>„Брдо-Бриони“,</w:t>
      </w:r>
      <w:r>
        <w:rPr>
          <w:rFonts w:ascii="Times New Roman" w:hAnsi="Times New Roman"/>
        </w:rPr>
        <w:t xml:space="preserve"> </w:t>
      </w:r>
      <w:r w:rsidRPr="00CA1CEB">
        <w:rPr>
          <w:rFonts w:ascii="Times New Roman" w:hAnsi="Times New Roman"/>
        </w:rPr>
        <w:t>Договорот</w:t>
      </w:r>
      <w:r>
        <w:rPr>
          <w:rFonts w:ascii="Times New Roman" w:hAnsi="Times New Roman"/>
        </w:rPr>
        <w:t xml:space="preserve"> </w:t>
      </w:r>
      <w:r w:rsidRPr="00CA1CEB">
        <w:rPr>
          <w:rFonts w:ascii="Times New Roman" w:hAnsi="Times New Roman"/>
        </w:rPr>
        <w:t>за</w:t>
      </w:r>
      <w:r>
        <w:rPr>
          <w:rFonts w:ascii="Times New Roman" w:hAnsi="Times New Roman"/>
        </w:rPr>
        <w:t xml:space="preserve"> </w:t>
      </w:r>
      <w:r w:rsidRPr="00CA1CEB">
        <w:rPr>
          <w:rFonts w:ascii="Times New Roman" w:hAnsi="Times New Roman"/>
        </w:rPr>
        <w:t>Европската</w:t>
      </w:r>
      <w:r>
        <w:rPr>
          <w:rFonts w:ascii="Times New Roman" w:hAnsi="Times New Roman"/>
        </w:rPr>
        <w:t xml:space="preserve"> </w:t>
      </w:r>
      <w:r w:rsidRPr="00CA1CEB">
        <w:rPr>
          <w:rFonts w:ascii="Times New Roman" w:hAnsi="Times New Roman"/>
        </w:rPr>
        <w:t>заедничка</w:t>
      </w:r>
      <w:r>
        <w:rPr>
          <w:rFonts w:ascii="Times New Roman" w:hAnsi="Times New Roman"/>
        </w:rPr>
        <w:t xml:space="preserve"> </w:t>
      </w:r>
      <w:r w:rsidRPr="00CA1CEB">
        <w:rPr>
          <w:rFonts w:ascii="Times New Roman" w:hAnsi="Times New Roman"/>
        </w:rPr>
        <w:t>воздухопловна</w:t>
      </w:r>
      <w:r>
        <w:rPr>
          <w:rFonts w:ascii="Times New Roman" w:hAnsi="Times New Roman"/>
        </w:rPr>
        <w:t xml:space="preserve"> </w:t>
      </w:r>
      <w:r w:rsidRPr="00CA1CEB">
        <w:rPr>
          <w:rFonts w:ascii="Times New Roman" w:hAnsi="Times New Roman"/>
        </w:rPr>
        <w:t>област,</w:t>
      </w:r>
      <w:r>
        <w:rPr>
          <w:rFonts w:ascii="Times New Roman" w:hAnsi="Times New Roman"/>
        </w:rPr>
        <w:t xml:space="preserve"> </w:t>
      </w:r>
      <w:r w:rsidRPr="00CA1CEB">
        <w:rPr>
          <w:rFonts w:ascii="Times New Roman" w:hAnsi="Times New Roman"/>
        </w:rPr>
        <w:t>Регионалната</w:t>
      </w:r>
      <w:r>
        <w:rPr>
          <w:rFonts w:ascii="Times New Roman" w:hAnsi="Times New Roman"/>
        </w:rPr>
        <w:t xml:space="preserve"> </w:t>
      </w:r>
      <w:r w:rsidRPr="00CA1CEB">
        <w:rPr>
          <w:rFonts w:ascii="Times New Roman" w:hAnsi="Times New Roman"/>
        </w:rPr>
        <w:t>иницијатива</w:t>
      </w:r>
      <w:r>
        <w:rPr>
          <w:rFonts w:ascii="Times New Roman" w:hAnsi="Times New Roman"/>
        </w:rPr>
        <w:t xml:space="preserve"> </w:t>
      </w:r>
      <w:r w:rsidRPr="00CA1CEB">
        <w:rPr>
          <w:rFonts w:ascii="Times New Roman" w:hAnsi="Times New Roman"/>
        </w:rPr>
        <w:t>за</w:t>
      </w:r>
      <w:r>
        <w:rPr>
          <w:rFonts w:ascii="Times New Roman" w:hAnsi="Times New Roman"/>
        </w:rPr>
        <w:t xml:space="preserve"> </w:t>
      </w:r>
      <w:r w:rsidRPr="00CA1CEB">
        <w:rPr>
          <w:rFonts w:ascii="Times New Roman" w:hAnsi="Times New Roman"/>
        </w:rPr>
        <w:t>миграција</w:t>
      </w:r>
      <w:r>
        <w:rPr>
          <w:rFonts w:ascii="Times New Roman" w:hAnsi="Times New Roman"/>
        </w:rPr>
        <w:t xml:space="preserve"> </w:t>
      </w:r>
      <w:r w:rsidRPr="00CA1CEB">
        <w:rPr>
          <w:rFonts w:ascii="Times New Roman" w:hAnsi="Times New Roman"/>
        </w:rPr>
        <w:t>и</w:t>
      </w:r>
      <w:r>
        <w:rPr>
          <w:rFonts w:ascii="Times New Roman" w:hAnsi="Times New Roman"/>
        </w:rPr>
        <w:t xml:space="preserve"> </w:t>
      </w:r>
      <w:r w:rsidRPr="00CA1CEB">
        <w:rPr>
          <w:rFonts w:ascii="Times New Roman" w:hAnsi="Times New Roman"/>
        </w:rPr>
        <w:t>јазик,</w:t>
      </w:r>
      <w:r>
        <w:rPr>
          <w:rFonts w:ascii="Times New Roman" w:hAnsi="Times New Roman"/>
        </w:rPr>
        <w:t xml:space="preserve"> </w:t>
      </w:r>
      <w:r w:rsidRPr="00CA1CEB">
        <w:rPr>
          <w:rFonts w:ascii="Times New Roman" w:hAnsi="Times New Roman"/>
        </w:rPr>
        <w:t>Регионалната</w:t>
      </w:r>
      <w:r>
        <w:rPr>
          <w:rFonts w:ascii="Times New Roman" w:hAnsi="Times New Roman"/>
        </w:rPr>
        <w:t xml:space="preserve"> </w:t>
      </w:r>
      <w:r w:rsidRPr="00CA1CEB">
        <w:rPr>
          <w:rFonts w:ascii="Times New Roman" w:hAnsi="Times New Roman"/>
        </w:rPr>
        <w:t>школа</w:t>
      </w:r>
      <w:r>
        <w:rPr>
          <w:rFonts w:ascii="Times New Roman" w:hAnsi="Times New Roman"/>
        </w:rPr>
        <w:t xml:space="preserve"> </w:t>
      </w:r>
      <w:r w:rsidRPr="00CA1CEB">
        <w:rPr>
          <w:rFonts w:ascii="Times New Roman" w:hAnsi="Times New Roman"/>
        </w:rPr>
        <w:t>за</w:t>
      </w:r>
      <w:r>
        <w:rPr>
          <w:rFonts w:ascii="Times New Roman" w:hAnsi="Times New Roman"/>
        </w:rPr>
        <w:t xml:space="preserve"> </w:t>
      </w:r>
      <w:r w:rsidRPr="00CA1CEB">
        <w:rPr>
          <w:rFonts w:ascii="Times New Roman" w:hAnsi="Times New Roman"/>
        </w:rPr>
        <w:t>јавна</w:t>
      </w:r>
      <w:r>
        <w:rPr>
          <w:rFonts w:ascii="Times New Roman" w:hAnsi="Times New Roman"/>
        </w:rPr>
        <w:t xml:space="preserve"> </w:t>
      </w:r>
      <w:r w:rsidRPr="00CA1CEB">
        <w:rPr>
          <w:rFonts w:ascii="Times New Roman" w:hAnsi="Times New Roman"/>
        </w:rPr>
        <w:t>администрација</w:t>
      </w:r>
      <w:r>
        <w:rPr>
          <w:rFonts w:ascii="Times New Roman" w:hAnsi="Times New Roman"/>
        </w:rPr>
        <w:t xml:space="preserve"> </w:t>
      </w:r>
      <w:r w:rsidRPr="00CA1CEB">
        <w:rPr>
          <w:rFonts w:ascii="Times New Roman" w:hAnsi="Times New Roman"/>
        </w:rPr>
        <w:t>(РеСПА),</w:t>
      </w:r>
      <w:r>
        <w:rPr>
          <w:rFonts w:ascii="Times New Roman" w:hAnsi="Times New Roman"/>
        </w:rPr>
        <w:t xml:space="preserve"> </w:t>
      </w:r>
      <w:r w:rsidRPr="00CA1CEB">
        <w:rPr>
          <w:rFonts w:ascii="Times New Roman" w:hAnsi="Times New Roman"/>
        </w:rPr>
        <w:t>Стратегијата</w:t>
      </w:r>
      <w:r>
        <w:rPr>
          <w:rFonts w:ascii="Times New Roman" w:hAnsi="Times New Roman"/>
        </w:rPr>
        <w:t xml:space="preserve"> </w:t>
      </w:r>
      <w:r w:rsidRPr="00CA1CEB">
        <w:rPr>
          <w:rFonts w:ascii="Times New Roman" w:hAnsi="Times New Roman"/>
        </w:rPr>
        <w:t>на</w:t>
      </w:r>
      <w:r>
        <w:rPr>
          <w:rFonts w:ascii="Times New Roman" w:hAnsi="Times New Roman"/>
        </w:rPr>
        <w:t xml:space="preserve"> </w:t>
      </w:r>
      <w:r w:rsidRPr="00CA1CEB">
        <w:rPr>
          <w:rFonts w:ascii="Times New Roman" w:hAnsi="Times New Roman"/>
        </w:rPr>
        <w:t>ЕУ</w:t>
      </w:r>
      <w:r>
        <w:rPr>
          <w:rFonts w:ascii="Times New Roman" w:hAnsi="Times New Roman"/>
        </w:rPr>
        <w:t xml:space="preserve"> </w:t>
      </w:r>
      <w:r w:rsidRPr="00CA1CEB">
        <w:rPr>
          <w:rFonts w:ascii="Times New Roman" w:hAnsi="Times New Roman"/>
        </w:rPr>
        <w:t>за</w:t>
      </w:r>
      <w:r>
        <w:rPr>
          <w:rFonts w:ascii="Times New Roman" w:hAnsi="Times New Roman"/>
        </w:rPr>
        <w:t xml:space="preserve"> </w:t>
      </w:r>
      <w:r w:rsidRPr="00CA1CEB">
        <w:rPr>
          <w:rFonts w:ascii="Times New Roman" w:hAnsi="Times New Roman"/>
        </w:rPr>
        <w:t>Јадранскиот</w:t>
      </w:r>
      <w:r>
        <w:rPr>
          <w:rFonts w:ascii="Times New Roman" w:hAnsi="Times New Roman"/>
        </w:rPr>
        <w:t xml:space="preserve"> </w:t>
      </w:r>
      <w:r w:rsidRPr="00CA1CEB">
        <w:rPr>
          <w:rFonts w:ascii="Times New Roman" w:hAnsi="Times New Roman"/>
        </w:rPr>
        <w:t>и</w:t>
      </w:r>
      <w:r>
        <w:rPr>
          <w:rFonts w:ascii="Times New Roman" w:hAnsi="Times New Roman"/>
        </w:rPr>
        <w:t xml:space="preserve"> </w:t>
      </w:r>
      <w:r w:rsidRPr="00CA1CEB">
        <w:rPr>
          <w:rFonts w:ascii="Times New Roman" w:hAnsi="Times New Roman"/>
        </w:rPr>
        <w:t>Јонскиот</w:t>
      </w:r>
      <w:r>
        <w:rPr>
          <w:rFonts w:ascii="Times New Roman" w:hAnsi="Times New Roman"/>
        </w:rPr>
        <w:t xml:space="preserve"> </w:t>
      </w:r>
      <w:r w:rsidRPr="00CA1CEB">
        <w:rPr>
          <w:rFonts w:ascii="Times New Roman" w:hAnsi="Times New Roman"/>
        </w:rPr>
        <w:t>Регион</w:t>
      </w:r>
      <w:r>
        <w:rPr>
          <w:rFonts w:ascii="Times New Roman" w:hAnsi="Times New Roman"/>
        </w:rPr>
        <w:t xml:space="preserve"> </w:t>
      </w:r>
      <w:r w:rsidRPr="00CA1CEB">
        <w:rPr>
          <w:rFonts w:ascii="Times New Roman" w:hAnsi="Times New Roman"/>
        </w:rPr>
        <w:t>(ЕУСАИР),</w:t>
      </w:r>
      <w:r>
        <w:rPr>
          <w:rFonts w:ascii="Times New Roman" w:hAnsi="Times New Roman"/>
        </w:rPr>
        <w:t xml:space="preserve"> </w:t>
      </w:r>
      <w:r w:rsidRPr="00CA1CEB">
        <w:rPr>
          <w:rFonts w:ascii="Times New Roman" w:hAnsi="Times New Roman"/>
        </w:rPr>
        <w:t>Организацијата</w:t>
      </w:r>
      <w:r>
        <w:rPr>
          <w:rFonts w:ascii="Times New Roman" w:hAnsi="Times New Roman"/>
        </w:rPr>
        <w:t xml:space="preserve"> </w:t>
      </w:r>
      <w:r w:rsidRPr="00CA1CEB">
        <w:rPr>
          <w:rFonts w:ascii="Times New Roman" w:hAnsi="Times New Roman"/>
        </w:rPr>
        <w:t>за</w:t>
      </w:r>
      <w:r>
        <w:rPr>
          <w:rFonts w:ascii="Times New Roman" w:hAnsi="Times New Roman"/>
        </w:rPr>
        <w:t xml:space="preserve"> </w:t>
      </w:r>
      <w:r w:rsidRPr="00CA1CEB">
        <w:rPr>
          <w:rFonts w:ascii="Times New Roman" w:hAnsi="Times New Roman"/>
        </w:rPr>
        <w:t>црноморска</w:t>
      </w:r>
      <w:r>
        <w:rPr>
          <w:rFonts w:ascii="Times New Roman" w:hAnsi="Times New Roman"/>
        </w:rPr>
        <w:t xml:space="preserve"> </w:t>
      </w:r>
      <w:r w:rsidRPr="00CA1CEB">
        <w:rPr>
          <w:rFonts w:ascii="Times New Roman" w:hAnsi="Times New Roman"/>
        </w:rPr>
        <w:t>економска</w:t>
      </w:r>
      <w:r>
        <w:rPr>
          <w:rFonts w:ascii="Times New Roman" w:hAnsi="Times New Roman"/>
        </w:rPr>
        <w:t xml:space="preserve"> </w:t>
      </w:r>
      <w:r w:rsidRPr="00CA1CEB">
        <w:rPr>
          <w:rFonts w:ascii="Times New Roman" w:hAnsi="Times New Roman"/>
        </w:rPr>
        <w:t>соработка</w:t>
      </w:r>
      <w:r>
        <w:rPr>
          <w:rFonts w:ascii="Times New Roman" w:hAnsi="Times New Roman"/>
        </w:rPr>
        <w:t xml:space="preserve"> </w:t>
      </w:r>
      <w:r w:rsidRPr="00CA1CEB">
        <w:rPr>
          <w:rFonts w:ascii="Times New Roman" w:hAnsi="Times New Roman"/>
        </w:rPr>
        <w:t>(ЕСЕЦ)</w:t>
      </w:r>
      <w:r>
        <w:rPr>
          <w:rFonts w:ascii="Times New Roman" w:hAnsi="Times New Roman"/>
        </w:rPr>
        <w:t xml:space="preserve"> </w:t>
      </w:r>
      <w:r w:rsidRPr="00CA1CEB">
        <w:rPr>
          <w:rFonts w:ascii="Times New Roman" w:hAnsi="Times New Roman"/>
        </w:rPr>
        <w:t>итн.</w:t>
      </w:r>
      <w:r>
        <w:rPr>
          <w:rFonts w:ascii="Times New Roman" w:hAnsi="Times New Roman"/>
        </w:rPr>
        <w:t xml:space="preserve"> </w:t>
      </w:r>
      <w:r w:rsidRPr="00CA1CEB">
        <w:rPr>
          <w:rFonts w:ascii="Times New Roman" w:hAnsi="Times New Roman"/>
        </w:rPr>
        <w:t>Северна</w:t>
      </w:r>
      <w:r>
        <w:rPr>
          <w:rFonts w:ascii="Times New Roman" w:hAnsi="Times New Roman"/>
        </w:rPr>
        <w:t xml:space="preserve"> </w:t>
      </w:r>
      <w:r w:rsidRPr="00CA1CEB">
        <w:rPr>
          <w:rFonts w:ascii="Times New Roman" w:hAnsi="Times New Roman"/>
        </w:rPr>
        <w:t>Македонија</w:t>
      </w:r>
      <w:r>
        <w:rPr>
          <w:rFonts w:ascii="Times New Roman" w:hAnsi="Times New Roman"/>
        </w:rPr>
        <w:t xml:space="preserve"> </w:t>
      </w:r>
      <w:r w:rsidRPr="00CA1CEB">
        <w:rPr>
          <w:rFonts w:ascii="Times New Roman" w:hAnsi="Times New Roman"/>
        </w:rPr>
        <w:t>има</w:t>
      </w:r>
      <w:r>
        <w:rPr>
          <w:rFonts w:ascii="Times New Roman" w:hAnsi="Times New Roman"/>
        </w:rPr>
        <w:t xml:space="preserve"> </w:t>
      </w:r>
      <w:r w:rsidRPr="00CA1CEB">
        <w:rPr>
          <w:rFonts w:ascii="Times New Roman" w:hAnsi="Times New Roman"/>
        </w:rPr>
        <w:t>статус</w:t>
      </w:r>
      <w:r>
        <w:rPr>
          <w:rFonts w:ascii="Times New Roman" w:hAnsi="Times New Roman"/>
        </w:rPr>
        <w:t xml:space="preserve"> </w:t>
      </w:r>
      <w:r w:rsidRPr="00CA1CEB">
        <w:rPr>
          <w:rFonts w:ascii="Times New Roman" w:hAnsi="Times New Roman"/>
        </w:rPr>
        <w:t>на</w:t>
      </w:r>
      <w:r>
        <w:rPr>
          <w:rFonts w:ascii="Times New Roman" w:hAnsi="Times New Roman"/>
        </w:rPr>
        <w:t xml:space="preserve"> </w:t>
      </w:r>
      <w:r w:rsidRPr="00CA1CEB">
        <w:rPr>
          <w:rFonts w:ascii="Times New Roman" w:hAnsi="Times New Roman"/>
        </w:rPr>
        <w:t>набљудувач</w:t>
      </w:r>
      <w:r>
        <w:rPr>
          <w:rFonts w:ascii="Times New Roman" w:hAnsi="Times New Roman"/>
        </w:rPr>
        <w:t xml:space="preserve"> </w:t>
      </w:r>
      <w:r w:rsidRPr="00CA1CEB">
        <w:rPr>
          <w:rFonts w:ascii="Times New Roman" w:hAnsi="Times New Roman"/>
        </w:rPr>
        <w:t>во</w:t>
      </w:r>
      <w:r>
        <w:rPr>
          <w:rFonts w:ascii="Times New Roman" w:hAnsi="Times New Roman"/>
        </w:rPr>
        <w:t xml:space="preserve"> </w:t>
      </w:r>
      <w:r w:rsidRPr="00CA1CEB">
        <w:rPr>
          <w:rFonts w:ascii="Times New Roman" w:hAnsi="Times New Roman"/>
        </w:rPr>
        <w:t>Дунавскиот</w:t>
      </w:r>
      <w:r>
        <w:rPr>
          <w:rFonts w:ascii="Times New Roman" w:hAnsi="Times New Roman"/>
        </w:rPr>
        <w:t xml:space="preserve"> </w:t>
      </w:r>
      <w:r w:rsidRPr="00CA1CEB">
        <w:rPr>
          <w:rFonts w:ascii="Times New Roman" w:hAnsi="Times New Roman"/>
        </w:rPr>
        <w:t>процес</w:t>
      </w:r>
      <w:r w:rsidRPr="00953F9D">
        <w:rPr>
          <w:rFonts w:ascii="Times New Roman" w:hAnsi="Times New Roman"/>
        </w:rPr>
        <w:t>.</w:t>
      </w:r>
    </w:p>
  </w:footnote>
  <w:footnote w:id="20">
    <w:p w14:paraId="273FB3E1" w14:textId="77777777" w:rsidR="000E0AE9" w:rsidRPr="00A23181" w:rsidRDefault="000E0AE9" w:rsidP="006E4EB0">
      <w:pPr>
        <w:pStyle w:val="FootnoteText"/>
        <w:jc w:val="both"/>
        <w:rPr>
          <w:rFonts w:ascii="Times New Roman" w:hAnsi="Times New Roman"/>
        </w:rPr>
      </w:pPr>
      <w:r w:rsidRPr="00A23181">
        <w:rPr>
          <w:rStyle w:val="FootnoteReference"/>
          <w:rFonts w:ascii="Times New Roman" w:hAnsi="Times New Roman"/>
        </w:rPr>
        <w:footnoteRef/>
      </w:r>
      <w:r>
        <w:rPr>
          <w:rFonts w:ascii="Times New Roman" w:hAnsi="Times New Roman"/>
        </w:rPr>
        <w:t xml:space="preserve"> </w:t>
      </w:r>
      <w:r w:rsidRPr="00A23181">
        <w:rPr>
          <w:rFonts w:ascii="Times New Roman" w:hAnsi="Times New Roman"/>
        </w:rPr>
        <w:t>Сл.</w:t>
      </w:r>
      <w:r>
        <w:rPr>
          <w:rFonts w:ascii="Times New Roman" w:hAnsi="Times New Roman"/>
        </w:rPr>
        <w:t xml:space="preserve"> </w:t>
      </w:r>
      <w:r w:rsidRPr="00A23181">
        <w:rPr>
          <w:rFonts w:ascii="Times New Roman" w:hAnsi="Times New Roman"/>
        </w:rPr>
        <w:t>весник</w:t>
      </w:r>
      <w:r>
        <w:rPr>
          <w:rFonts w:ascii="Times New Roman" w:hAnsi="Times New Roman"/>
        </w:rPr>
        <w:t xml:space="preserve"> </w:t>
      </w:r>
      <w:r w:rsidRPr="00A23181">
        <w:rPr>
          <w:rFonts w:ascii="Times New Roman" w:hAnsi="Times New Roman"/>
        </w:rPr>
        <w:t>L</w:t>
      </w:r>
      <w:r>
        <w:rPr>
          <w:rFonts w:ascii="Times New Roman" w:hAnsi="Times New Roman"/>
        </w:rPr>
        <w:t xml:space="preserve"> </w:t>
      </w:r>
      <w:r w:rsidRPr="00A23181">
        <w:rPr>
          <w:rFonts w:ascii="Times New Roman" w:hAnsi="Times New Roman"/>
        </w:rPr>
        <w:t>330,</w:t>
      </w:r>
      <w:r>
        <w:rPr>
          <w:rFonts w:ascii="Times New Roman" w:hAnsi="Times New Roman"/>
        </w:rPr>
        <w:t xml:space="preserve"> </w:t>
      </w:r>
      <w:r w:rsidRPr="00A23181">
        <w:rPr>
          <w:rFonts w:ascii="Times New Roman" w:hAnsi="Times New Roman"/>
        </w:rPr>
        <w:t>20.9.2021</w:t>
      </w:r>
      <w:r>
        <w:rPr>
          <w:rFonts w:ascii="Times New Roman" w:hAnsi="Times New Roman"/>
        </w:rPr>
        <w:t xml:space="preserve"> </w:t>
      </w:r>
      <w:r w:rsidRPr="00A23181">
        <w:rPr>
          <w:rFonts w:ascii="Times New Roman" w:hAnsi="Times New Roman"/>
        </w:rPr>
        <w:t>година.</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4B5" w14:textId="77777777" w:rsidR="00484095" w:rsidRDefault="004840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1E22B" w14:textId="77777777" w:rsidR="00484095" w:rsidRDefault="004840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90303" w14:textId="77777777" w:rsidR="00484095" w:rsidRPr="009E1831" w:rsidRDefault="00484095" w:rsidP="00484095">
    <w:pPr>
      <w:pStyle w:val="Header"/>
      <w:jc w:val="right"/>
      <w:rPr>
        <w:b/>
        <w:i/>
        <w:color w:val="404040"/>
      </w:rPr>
    </w:pPr>
    <w:r w:rsidRPr="009E1831">
      <w:rPr>
        <w:b/>
        <w:i/>
        <w:color w:val="404040"/>
      </w:rPr>
      <w:t>Работен превод</w:t>
    </w:r>
  </w:p>
  <w:p w14:paraId="2CFFD1EE" w14:textId="77777777" w:rsidR="00484095" w:rsidRDefault="004840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15:restartNumberingAfterBreak="0">
    <w:nsid w:val="00350FB1"/>
    <w:multiLevelType w:val="multilevel"/>
    <w:tmpl w:val="30847FD6"/>
    <w:name w:val="List Number 4"/>
    <w:lvl w:ilvl="0">
      <w:start w:val="1"/>
      <w:numFmt w:val="decimal"/>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3C668A2"/>
    <w:multiLevelType w:val="hybridMultilevel"/>
    <w:tmpl w:val="B00415CE"/>
    <w:lvl w:ilvl="0" w:tplc="A4D27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A2589B"/>
    <w:multiLevelType w:val="multilevel"/>
    <w:tmpl w:val="46348950"/>
    <w:lvl w:ilvl="0">
      <w:start w:val="1"/>
      <w:numFmt w:val="decimal"/>
      <w:pStyle w:val="NumberedHeading1"/>
      <w:lvlText w:val="2.%1."/>
      <w:lvlJc w:val="left"/>
      <w:pPr>
        <w:tabs>
          <w:tab w:val="num" w:pos="567"/>
        </w:tabs>
        <w:ind w:left="567" w:hanging="567"/>
      </w:pPr>
    </w:lvl>
    <w:lvl w:ilvl="1">
      <w:start w:val="1"/>
      <w:numFmt w:val="decimal"/>
      <w:pStyle w:val="NumberedHeading2"/>
      <w:lvlText w:val="2.%1.%2."/>
      <w:lvlJc w:val="left"/>
      <w:pPr>
        <w:tabs>
          <w:tab w:val="num" w:pos="567"/>
        </w:tabs>
        <w:ind w:left="567" w:hanging="567"/>
      </w:pPr>
    </w:lvl>
    <w:lvl w:ilvl="2">
      <w:start w:val="1"/>
      <w:numFmt w:val="decimal"/>
      <w:pStyle w:val="NumberedHeading3"/>
      <w:lvlText w:val="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4A265E3"/>
    <w:multiLevelType w:val="hybridMultilevel"/>
    <w:tmpl w:val="151C246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05E43525"/>
    <w:multiLevelType w:val="multilevel"/>
    <w:tmpl w:val="76202BFE"/>
    <w:name w:val="List Number 3"/>
    <w:lvl w:ilvl="0">
      <w:start w:val="1"/>
      <w:numFmt w:val="decimal"/>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66B5A68"/>
    <w:multiLevelType w:val="singleLevel"/>
    <w:tmpl w:val="8B0853B0"/>
    <w:name w:val="Dash 1"/>
    <w:lvl w:ilvl="0">
      <w:start w:val="1"/>
      <w:numFmt w:val="bullet"/>
      <w:pStyle w:val="Dash1"/>
      <w:lvlText w:val="–"/>
      <w:lvlJc w:val="left"/>
      <w:pPr>
        <w:tabs>
          <w:tab w:val="num" w:pos="1134"/>
        </w:tabs>
        <w:ind w:left="1134" w:hanging="567"/>
      </w:pPr>
    </w:lvl>
  </w:abstractNum>
  <w:abstractNum w:abstractNumId="10" w15:restartNumberingAfterBreak="0">
    <w:nsid w:val="0AE23234"/>
    <w:multiLevelType w:val="hybridMultilevel"/>
    <w:tmpl w:val="4D8EAF3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2DF2293"/>
    <w:multiLevelType w:val="multilevel"/>
    <w:tmpl w:val="49F6D5A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68354AE"/>
    <w:multiLevelType w:val="hybridMultilevel"/>
    <w:tmpl w:val="D8B4EBBA"/>
    <w:lvl w:ilvl="0" w:tplc="A4D27D3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1C273717"/>
    <w:multiLevelType w:val="multilevel"/>
    <w:tmpl w:val="65667EF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C8A1A35"/>
    <w:multiLevelType w:val="hybridMultilevel"/>
    <w:tmpl w:val="474C9F2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5" w15:restartNumberingAfterBreak="0">
    <w:nsid w:val="202305CE"/>
    <w:multiLevelType w:val="hybridMultilevel"/>
    <w:tmpl w:val="D212881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232863D5"/>
    <w:multiLevelType w:val="multilevel"/>
    <w:tmpl w:val="75780AE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4E930D7"/>
    <w:multiLevelType w:val="multilevel"/>
    <w:tmpl w:val="EFD2E05E"/>
    <w:name w:val="List Number 2"/>
    <w:lvl w:ilvl="0">
      <w:start w:val="1"/>
      <w:numFmt w:val="decimal"/>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59632C3"/>
    <w:multiLevelType w:val="hybridMultilevel"/>
    <w:tmpl w:val="1DB4E532"/>
    <w:lvl w:ilvl="0" w:tplc="DE54E6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DE4444"/>
    <w:multiLevelType w:val="multilevel"/>
    <w:tmpl w:val="1FBA784C"/>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B080E12"/>
    <w:multiLevelType w:val="hybridMultilevel"/>
    <w:tmpl w:val="F3549882"/>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2B982F65"/>
    <w:multiLevelType w:val="hybridMultilevel"/>
    <w:tmpl w:val="D74C25D6"/>
    <w:lvl w:ilvl="0" w:tplc="DE54E67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5C29D2"/>
    <w:multiLevelType w:val="hybridMultilevel"/>
    <w:tmpl w:val="1A14F07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304925B7"/>
    <w:multiLevelType w:val="hybridMultilevel"/>
    <w:tmpl w:val="0D02565A"/>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334A4FFE"/>
    <w:multiLevelType w:val="hybridMultilevel"/>
    <w:tmpl w:val="291683B8"/>
    <w:lvl w:ilvl="0" w:tplc="09F66A2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5" w15:restartNumberingAfterBreak="0">
    <w:nsid w:val="3A5459E8"/>
    <w:multiLevelType w:val="singleLevel"/>
    <w:tmpl w:val="2188C922"/>
    <w:name w:val="Bullet 1"/>
    <w:lvl w:ilvl="0">
      <w:start w:val="1"/>
      <w:numFmt w:val="bullet"/>
      <w:pStyle w:val="Tiret1"/>
      <w:lvlText w:val="–"/>
      <w:lvlJc w:val="left"/>
      <w:pPr>
        <w:tabs>
          <w:tab w:val="num" w:pos="1417"/>
        </w:tabs>
        <w:ind w:left="1417" w:hanging="567"/>
      </w:pPr>
    </w:lvl>
  </w:abstractNum>
  <w:abstractNum w:abstractNumId="26" w15:restartNumberingAfterBreak="0">
    <w:nsid w:val="3BA736C9"/>
    <w:multiLevelType w:val="singleLevel"/>
    <w:tmpl w:val="F00A6C0C"/>
    <w:lvl w:ilvl="0">
      <w:start w:val="1"/>
      <w:numFmt w:val="bullet"/>
      <w:pStyle w:val="Tiret0"/>
      <w:lvlText w:val="–"/>
      <w:lvlJc w:val="left"/>
      <w:pPr>
        <w:tabs>
          <w:tab w:val="num" w:pos="850"/>
        </w:tabs>
        <w:ind w:left="850" w:hanging="850"/>
      </w:pPr>
    </w:lvl>
  </w:abstractNum>
  <w:abstractNum w:abstractNumId="27" w15:restartNumberingAfterBreak="0">
    <w:nsid w:val="3C6C38B3"/>
    <w:multiLevelType w:val="hybridMultilevel"/>
    <w:tmpl w:val="D2CA1298"/>
    <w:lvl w:ilvl="0" w:tplc="A4D27D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3C6F3A35"/>
    <w:multiLevelType w:val="hybridMultilevel"/>
    <w:tmpl w:val="720C924C"/>
    <w:lvl w:ilvl="0" w:tplc="DE54E67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3C90278F"/>
    <w:multiLevelType w:val="singleLevel"/>
    <w:tmpl w:val="0FE08974"/>
    <w:lvl w:ilvl="0">
      <w:start w:val="1"/>
      <w:numFmt w:val="bullet"/>
      <w:pStyle w:val="Tiret3"/>
      <w:lvlText w:val="–"/>
      <w:lvlJc w:val="left"/>
      <w:pPr>
        <w:tabs>
          <w:tab w:val="num" w:pos="2551"/>
        </w:tabs>
        <w:ind w:left="2551" w:hanging="567"/>
      </w:pPr>
    </w:lvl>
  </w:abstractNum>
  <w:abstractNum w:abstractNumId="30" w15:restartNumberingAfterBreak="0">
    <w:nsid w:val="40315490"/>
    <w:multiLevelType w:val="singleLevel"/>
    <w:tmpl w:val="1F86C700"/>
    <w:name w:val="List Dash"/>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31" w15:restartNumberingAfterBreak="0">
    <w:nsid w:val="44535783"/>
    <w:multiLevelType w:val="hybridMultilevel"/>
    <w:tmpl w:val="0212BFE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2" w15:restartNumberingAfterBreak="0">
    <w:nsid w:val="48842C30"/>
    <w:multiLevelType w:val="singleLevel"/>
    <w:tmpl w:val="4FA60B90"/>
    <w:name w:val="List Bullet 3"/>
    <w:lvl w:ilvl="0">
      <w:start w:val="1"/>
      <w:numFmt w:val="bullet"/>
      <w:pStyle w:val="Bullet4"/>
      <w:lvlText w:val=""/>
      <w:lvlJc w:val="left"/>
      <w:pPr>
        <w:tabs>
          <w:tab w:val="num" w:pos="3118"/>
        </w:tabs>
        <w:ind w:left="3118" w:hanging="567"/>
      </w:pPr>
      <w:rPr>
        <w:rFonts w:ascii="Symbol" w:hAnsi="Symbol" w:hint="default"/>
      </w:rPr>
    </w:lvl>
  </w:abstractNum>
  <w:abstractNum w:abstractNumId="33" w15:restartNumberingAfterBreak="0">
    <w:nsid w:val="4AC77484"/>
    <w:multiLevelType w:val="hybridMultilevel"/>
    <w:tmpl w:val="744AA034"/>
    <w:lvl w:ilvl="0" w:tplc="09F66A24">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4DD1217A"/>
    <w:multiLevelType w:val="multilevel"/>
    <w:tmpl w:val="EF3213D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22761D7"/>
    <w:multiLevelType w:val="hybridMultilevel"/>
    <w:tmpl w:val="7D1043D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6" w15:restartNumberingAfterBreak="0">
    <w:nsid w:val="54593082"/>
    <w:multiLevelType w:val="singleLevel"/>
    <w:tmpl w:val="EDE069AC"/>
    <w:lvl w:ilvl="0">
      <w:start w:val="1"/>
      <w:numFmt w:val="bullet"/>
      <w:pStyle w:val="Bullet0"/>
      <w:lvlText w:val=""/>
      <w:lvlJc w:val="left"/>
      <w:pPr>
        <w:tabs>
          <w:tab w:val="num" w:pos="850"/>
        </w:tabs>
        <w:ind w:left="850" w:hanging="850"/>
      </w:pPr>
      <w:rPr>
        <w:rFonts w:ascii="Symbol" w:hAnsi="Symbol" w:hint="default"/>
      </w:rPr>
    </w:lvl>
  </w:abstractNum>
  <w:abstractNum w:abstractNumId="37" w15:restartNumberingAfterBreak="0">
    <w:nsid w:val="568864DC"/>
    <w:multiLevelType w:val="singleLevel"/>
    <w:tmpl w:val="485EBDAC"/>
    <w:lvl w:ilvl="0">
      <w:start w:val="1"/>
      <w:numFmt w:val="bullet"/>
      <w:pStyle w:val="Tiret4"/>
      <w:lvlText w:val="–"/>
      <w:lvlJc w:val="left"/>
      <w:pPr>
        <w:tabs>
          <w:tab w:val="num" w:pos="3118"/>
        </w:tabs>
        <w:ind w:left="3118" w:hanging="567"/>
      </w:pPr>
    </w:lvl>
  </w:abstractNum>
  <w:abstractNum w:abstractNumId="38" w15:restartNumberingAfterBreak="0">
    <w:nsid w:val="592B0F08"/>
    <w:multiLevelType w:val="hybridMultilevel"/>
    <w:tmpl w:val="AC109708"/>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9" w15:restartNumberingAfterBreak="0">
    <w:nsid w:val="596D67A1"/>
    <w:multiLevelType w:val="singleLevel"/>
    <w:tmpl w:val="9AC8831A"/>
    <w:name w:val="List Dash 2"/>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40" w15:restartNumberingAfterBreak="0">
    <w:nsid w:val="59F30D94"/>
    <w:multiLevelType w:val="hybridMultilevel"/>
    <w:tmpl w:val="1C8A195E"/>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1" w15:restartNumberingAfterBreak="0">
    <w:nsid w:val="5AE53A8C"/>
    <w:multiLevelType w:val="hybridMultilevel"/>
    <w:tmpl w:val="90E88A90"/>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2" w15:restartNumberingAfterBreak="0">
    <w:nsid w:val="5E7F005F"/>
    <w:multiLevelType w:val="hybridMultilevel"/>
    <w:tmpl w:val="CA3CEB98"/>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5F342530"/>
    <w:multiLevelType w:val="singleLevel"/>
    <w:tmpl w:val="D5444702"/>
    <w:lvl w:ilvl="0">
      <w:start w:val="1"/>
      <w:numFmt w:val="bullet"/>
      <w:pStyle w:val="Bullet3"/>
      <w:lvlText w:val=""/>
      <w:lvlJc w:val="left"/>
      <w:pPr>
        <w:tabs>
          <w:tab w:val="num" w:pos="2551"/>
        </w:tabs>
        <w:ind w:left="2551" w:hanging="567"/>
      </w:pPr>
      <w:rPr>
        <w:rFonts w:ascii="Symbol" w:hAnsi="Symbol" w:hint="default"/>
      </w:rPr>
    </w:lvl>
  </w:abstractNum>
  <w:abstractNum w:abstractNumId="44" w15:restartNumberingAfterBreak="0">
    <w:nsid w:val="5F8C3B69"/>
    <w:multiLevelType w:val="multilevel"/>
    <w:tmpl w:val="9B14DAA8"/>
    <w:name w:val="Tiret 0"/>
    <w:lvl w:ilvl="0">
      <w:start w:val="1"/>
      <w:numFmt w:val="decimal"/>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F9C40AA"/>
    <w:multiLevelType w:val="singleLevel"/>
    <w:tmpl w:val="B89CB5A2"/>
    <w:name w:val="List Number"/>
    <w:lvl w:ilvl="0">
      <w:start w:val="1"/>
      <w:numFmt w:val="bullet"/>
      <w:pStyle w:val="Bullet2"/>
      <w:lvlText w:val=""/>
      <w:lvlJc w:val="left"/>
      <w:pPr>
        <w:tabs>
          <w:tab w:val="num" w:pos="1984"/>
        </w:tabs>
        <w:ind w:left="1984" w:hanging="567"/>
      </w:pPr>
      <w:rPr>
        <w:rFonts w:ascii="Symbol" w:hAnsi="Symbol" w:hint="default"/>
      </w:rPr>
    </w:lvl>
  </w:abstractNum>
  <w:abstractNum w:abstractNumId="46" w15:restartNumberingAfterBreak="0">
    <w:nsid w:val="62970F71"/>
    <w:multiLevelType w:val="singleLevel"/>
    <w:tmpl w:val="5AFA8C72"/>
    <w:name w:val="Tiret 3"/>
    <w:lvl w:ilvl="0">
      <w:start w:val="1"/>
      <w:numFmt w:val="bullet"/>
      <w:pStyle w:val="Tiret2"/>
      <w:lvlText w:val="–"/>
      <w:lvlJc w:val="left"/>
      <w:pPr>
        <w:tabs>
          <w:tab w:val="num" w:pos="1984"/>
        </w:tabs>
        <w:ind w:left="1984" w:hanging="567"/>
      </w:pPr>
    </w:lvl>
  </w:abstractNum>
  <w:abstractNum w:abstractNumId="47"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48" w15:restartNumberingAfterBreak="0">
    <w:nsid w:val="62DB347E"/>
    <w:multiLevelType w:val="hybridMultilevel"/>
    <w:tmpl w:val="1CCC1C36"/>
    <w:lvl w:ilvl="0" w:tplc="A1F6E042">
      <w:start w:val="1"/>
      <w:numFmt w:val="bullet"/>
      <w:lvlText w:val=""/>
      <w:lvlJc w:val="left"/>
      <w:pPr>
        <w:ind w:left="360" w:hanging="360"/>
      </w:pPr>
      <w:rPr>
        <w:rFonts w:ascii="Symbol" w:hAnsi="Symbol" w:hint="default"/>
        <w:strike w:val="0"/>
        <w:dstrike w:val="0"/>
        <w:u w:val="none"/>
        <w:effect w:val="none"/>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9" w15:restartNumberingAfterBreak="0">
    <w:nsid w:val="633C4ADA"/>
    <w:multiLevelType w:val="hybridMultilevel"/>
    <w:tmpl w:val="A7224684"/>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0" w15:restartNumberingAfterBreak="0">
    <w:nsid w:val="68D87467"/>
    <w:multiLevelType w:val="multilevel"/>
    <w:tmpl w:val="CA7C937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69995580"/>
    <w:multiLevelType w:val="singleLevel"/>
    <w:tmpl w:val="75CC7CBA"/>
    <w:name w:val="List Dash 1"/>
    <w:lvl w:ilvl="0">
      <w:start w:val="1"/>
      <w:numFmt w:val="decimal"/>
      <w:pStyle w:val="Considrant"/>
      <w:lvlText w:val="(%1)"/>
      <w:lvlJc w:val="left"/>
      <w:pPr>
        <w:tabs>
          <w:tab w:val="num" w:pos="709"/>
        </w:tabs>
        <w:ind w:left="709" w:hanging="709"/>
      </w:pPr>
    </w:lvl>
  </w:abstractNum>
  <w:abstractNum w:abstractNumId="52" w15:restartNumberingAfterBreak="0">
    <w:nsid w:val="6A6901C1"/>
    <w:multiLevelType w:val="singleLevel"/>
    <w:tmpl w:val="208841AE"/>
    <w:name w:val="Bullet 4"/>
    <w:lvl w:ilvl="0">
      <w:start w:val="1"/>
      <w:numFmt w:val="bullet"/>
      <w:pStyle w:val="ListBullet1"/>
      <w:lvlText w:val=""/>
      <w:lvlJc w:val="left"/>
      <w:pPr>
        <w:tabs>
          <w:tab w:val="num" w:pos="1134"/>
        </w:tabs>
        <w:ind w:left="1134" w:hanging="283"/>
      </w:pPr>
      <w:rPr>
        <w:rFonts w:ascii="Symbol" w:hAnsi="Symbol" w:hint="default"/>
      </w:rPr>
    </w:lvl>
  </w:abstractNum>
  <w:abstractNum w:abstractNumId="53" w15:restartNumberingAfterBreak="0">
    <w:nsid w:val="6C526776"/>
    <w:multiLevelType w:val="multilevel"/>
    <w:tmpl w:val="C63C962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FBE19C6"/>
    <w:multiLevelType w:val="hybridMultilevel"/>
    <w:tmpl w:val="D2104C26"/>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5" w15:restartNumberingAfterBreak="0">
    <w:nsid w:val="70257899"/>
    <w:multiLevelType w:val="hybridMultilevel"/>
    <w:tmpl w:val="66ECD31E"/>
    <w:lvl w:ilvl="0" w:tplc="A4D27D34">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6"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24A484C"/>
    <w:multiLevelType w:val="hybridMultilevel"/>
    <w:tmpl w:val="9BFED5CC"/>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58" w15:restartNumberingAfterBreak="0">
    <w:nsid w:val="777A5982"/>
    <w:multiLevelType w:val="hybridMultilevel"/>
    <w:tmpl w:val="3222888E"/>
    <w:lvl w:ilvl="0" w:tplc="A1F6E042">
      <w:start w:val="1"/>
      <w:numFmt w:val="bullet"/>
      <w:lvlText w:val=""/>
      <w:lvlJc w:val="left"/>
      <w:pPr>
        <w:ind w:left="360" w:hanging="360"/>
      </w:pPr>
      <w:rPr>
        <w:rFonts w:ascii="Symbol" w:hAnsi="Symbol" w:hint="default"/>
        <w:strike w:val="0"/>
        <w:dstrike w:val="0"/>
        <w:u w:val="none"/>
        <w:effect w:val="none"/>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9" w15:restartNumberingAfterBreak="0">
    <w:nsid w:val="78A241BD"/>
    <w:multiLevelType w:val="singleLevel"/>
    <w:tmpl w:val="53C4DF32"/>
    <w:name w:val="List Bullet 1"/>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60" w15:restartNumberingAfterBreak="0">
    <w:nsid w:val="78D13CAA"/>
    <w:multiLevelType w:val="hybridMultilevel"/>
    <w:tmpl w:val="00E009E4"/>
    <w:lvl w:ilvl="0" w:tplc="A4D27D34">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1" w15:restartNumberingAfterBreak="0">
    <w:nsid w:val="79C96D36"/>
    <w:multiLevelType w:val="multilevel"/>
    <w:tmpl w:val="BE983CE4"/>
    <w:name w:val="List Dash 3"/>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7BE95D7F"/>
    <w:multiLevelType w:val="multilevel"/>
    <w:tmpl w:val="F126F780"/>
    <w:name w:val="List Number 1"/>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3" w15:restartNumberingAfterBreak="0">
    <w:nsid w:val="7D8820A0"/>
    <w:multiLevelType w:val="singleLevel"/>
    <w:tmpl w:val="54F6C7B4"/>
    <w:name w:val="List Bullet"/>
    <w:lvl w:ilvl="0">
      <w:start w:val="1"/>
      <w:numFmt w:val="bullet"/>
      <w:pStyle w:val="ListDash4"/>
      <w:lvlText w:val="–"/>
      <w:lvlJc w:val="left"/>
      <w:pPr>
        <w:tabs>
          <w:tab w:val="num" w:pos="1134"/>
        </w:tabs>
        <w:ind w:left="1134" w:hanging="283"/>
      </w:pPr>
      <w:rPr>
        <w:rFonts w:ascii="Times New Roman" w:hAnsi="Times New Roman" w:cs="Times New Roman"/>
      </w:rPr>
    </w:lvl>
  </w:abstractNum>
  <w:num w:numId="1" w16cid:durableId="2046446438">
    <w:abstractNumId w:val="40"/>
  </w:num>
  <w:num w:numId="2" w16cid:durableId="1404571303">
    <w:abstractNumId w:val="21"/>
  </w:num>
  <w:num w:numId="3" w16cid:durableId="1652320465">
    <w:abstractNumId w:val="4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871114">
    <w:abstractNumId w:val="3"/>
    <w:lvlOverride w:ilvl="0">
      <w:startOverride w:val="1"/>
    </w:lvlOverride>
  </w:num>
  <w:num w:numId="5" w16cid:durableId="1256207643">
    <w:abstractNumId w:val="1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3284732">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1315930">
    <w:abstractNumId w:val="4"/>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911595">
    <w:abstractNumId w:val="2"/>
    <w:lvlOverride w:ilvl="0">
      <w:startOverride w:val="1"/>
    </w:lvlOverride>
  </w:num>
  <w:num w:numId="9" w16cid:durableId="35542537">
    <w:abstractNumId w:val="1"/>
    <w:lvlOverride w:ilvl="0">
      <w:startOverride w:val="1"/>
    </w:lvlOverride>
  </w:num>
  <w:num w:numId="10" w16cid:durableId="378549313">
    <w:abstractNumId w:val="0"/>
    <w:lvlOverride w:ilvl="0">
      <w:startOverride w:val="1"/>
    </w:lvlOverride>
  </w:num>
  <w:num w:numId="11" w16cid:durableId="2134396268">
    <w:abstractNumId w:val="9"/>
  </w:num>
  <w:num w:numId="12" w16cid:durableId="4687435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3790034">
    <w:abstractNumId w:val="26"/>
  </w:num>
  <w:num w:numId="14" w16cid:durableId="1279682584">
    <w:abstractNumId w:val="25"/>
  </w:num>
  <w:num w:numId="15" w16cid:durableId="941373407">
    <w:abstractNumId w:val="46"/>
  </w:num>
  <w:num w:numId="16" w16cid:durableId="1572622275">
    <w:abstractNumId w:val="29"/>
  </w:num>
  <w:num w:numId="17" w16cid:durableId="1707294658">
    <w:abstractNumId w:val="37"/>
  </w:num>
  <w:num w:numId="18" w16cid:durableId="6178760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646511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3044426">
    <w:abstractNumId w:val="36"/>
  </w:num>
  <w:num w:numId="21" w16cid:durableId="931359045">
    <w:abstractNumId w:val="45"/>
  </w:num>
  <w:num w:numId="22" w16cid:durableId="1256206804">
    <w:abstractNumId w:val="43"/>
  </w:num>
  <w:num w:numId="23" w16cid:durableId="806436778">
    <w:abstractNumId w:val="32"/>
  </w:num>
  <w:num w:numId="24" w16cid:durableId="482699428">
    <w:abstractNumId w:val="51"/>
    <w:lvlOverride w:ilvl="0">
      <w:startOverride w:val="1"/>
    </w:lvlOverride>
  </w:num>
  <w:num w:numId="25" w16cid:durableId="702748173">
    <w:abstractNumId w:val="52"/>
  </w:num>
  <w:num w:numId="26" w16cid:durableId="646201665">
    <w:abstractNumId w:val="30"/>
  </w:num>
  <w:num w:numId="27" w16cid:durableId="1409497465">
    <w:abstractNumId w:val="47"/>
  </w:num>
  <w:num w:numId="28" w16cid:durableId="1123424415">
    <w:abstractNumId w:val="39"/>
  </w:num>
  <w:num w:numId="29" w16cid:durableId="1738239245">
    <w:abstractNumId w:val="59"/>
  </w:num>
  <w:num w:numId="30" w16cid:durableId="1744645374">
    <w:abstractNumId w:val="63"/>
  </w:num>
  <w:num w:numId="31" w16cid:durableId="490676778">
    <w:abstractNumId w:val="6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9326705">
    <w:abstractNumId w:val="19"/>
  </w:num>
  <w:num w:numId="33" w16cid:durableId="978998854">
    <w:abstractNumId w:val="18"/>
  </w:num>
  <w:num w:numId="34" w16cid:durableId="951329510">
    <w:abstractNumId w:val="38"/>
  </w:num>
  <w:num w:numId="35" w16cid:durableId="111287811">
    <w:abstractNumId w:val="42"/>
  </w:num>
  <w:num w:numId="36" w16cid:durableId="464395525">
    <w:abstractNumId w:val="49"/>
  </w:num>
  <w:num w:numId="37" w16cid:durableId="6152618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3813150">
    <w:abstractNumId w:val="27"/>
  </w:num>
  <w:num w:numId="39" w16cid:durableId="527253459">
    <w:abstractNumId w:val="54"/>
  </w:num>
  <w:num w:numId="40" w16cid:durableId="1159267930">
    <w:abstractNumId w:val="28"/>
  </w:num>
  <w:num w:numId="41" w16cid:durableId="189381094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0727024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8753060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548048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6027961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83305355">
    <w:abstractNumId w:val="10"/>
  </w:num>
  <w:num w:numId="47" w16cid:durableId="196505669">
    <w:abstractNumId w:val="14"/>
  </w:num>
  <w:num w:numId="48" w16cid:durableId="1474982344">
    <w:abstractNumId w:val="35"/>
  </w:num>
  <w:num w:numId="49" w16cid:durableId="706682835">
    <w:abstractNumId w:val="55"/>
  </w:num>
  <w:num w:numId="50" w16cid:durableId="1339041770">
    <w:abstractNumId w:val="60"/>
  </w:num>
  <w:num w:numId="51" w16cid:durableId="1119764545">
    <w:abstractNumId w:val="57"/>
  </w:num>
  <w:num w:numId="52" w16cid:durableId="1705402562">
    <w:abstractNumId w:val="48"/>
  </w:num>
  <w:num w:numId="53" w16cid:durableId="225461944">
    <w:abstractNumId w:val="33"/>
  </w:num>
  <w:num w:numId="54" w16cid:durableId="1929188816">
    <w:abstractNumId w:val="20"/>
  </w:num>
  <w:num w:numId="55" w16cid:durableId="1006371200">
    <w:abstractNumId w:val="7"/>
  </w:num>
  <w:num w:numId="56" w16cid:durableId="167066550">
    <w:abstractNumId w:val="24"/>
  </w:num>
  <w:num w:numId="57" w16cid:durableId="160050768">
    <w:abstractNumId w:val="58"/>
  </w:num>
  <w:num w:numId="58" w16cid:durableId="603727746">
    <w:abstractNumId w:val="12"/>
  </w:num>
  <w:num w:numId="59" w16cid:durableId="886726191">
    <w:abstractNumId w:val="31"/>
  </w:num>
  <w:num w:numId="60" w16cid:durableId="122382302">
    <w:abstractNumId w:val="22"/>
  </w:num>
  <w:num w:numId="61" w16cid:durableId="906428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6580640">
    <w:abstractNumId w:val="15"/>
  </w:num>
  <w:num w:numId="63" w16cid:durableId="1036738884">
    <w:abstractNumId w:val="41"/>
  </w:num>
  <w:num w:numId="64" w16cid:durableId="842091380">
    <w:abstractNumId w:val="23"/>
  </w:num>
  <w:num w:numId="65" w16cid:durableId="738753904">
    <w:abstractNumId w:val="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ACCOMPAGNANT.CP" w:val="Accompanying the document"/>
    <w:docVar w:name="LW_CORRIGENDUM" w:val="&lt;UNUSED&gt;"/>
    <w:docVar w:name="LW_COVERPAGE_EXISTS" w:val="True"/>
    <w:docVar w:name="LW_COVERPAGE_GUID" w:val="4F4678AA-B44A-4438-80AB-8513F7D6B20F"/>
    <w:docVar w:name="LW_COVERPAGE_TYPE" w:val="1"/>
    <w:docVar w:name="LW_CROSSREFERENCE" w:val="{COM(2022) 528 final} - {SWD(2022) 332 final} - {SWD(2022) 333 final} - {SWD(2022) 334 final} - {SWD(2022) 335 final} - {SWD(2022) 336 final} - {SWD(2022) 338 final}"/>
    <w:docVar w:name="LW_DocType" w:val="NORMAL"/>
    <w:docVar w:name="LW_EMISSION" w:val="12.10.2022"/>
    <w:docVar w:name="LW_EMISSION_ISODATE" w:val="2022-10-12"/>
    <w:docVar w:name="LW_EMISSION_LOCATION" w:val="BRX"/>
    <w:docVar w:name="LW_EMISSION_PREFIX" w:val="Brussels, "/>
    <w:docVar w:name="LW_EMISSION_SUFFIX" w:val=" "/>
    <w:docVar w:name="LW_ID_DOCTYPE_NONLW" w:val="CP-025"/>
    <w:docVar w:name="LW_LANGUE" w:val="EN"/>
    <w:docVar w:name="LW_LEVEL_OF_SENSITIVITY" w:val="Standard treatment"/>
    <w:docVar w:name="LW_NOM.INST" w:val="EUROPEAN COMMISSION"/>
    <w:docVar w:name="LW_NOM.INST_JOINTDOC" w:val="&lt;EMPTY&gt;"/>
    <w:docVar w:name="LW_OBJETACTEPRINCIPAL.CP" w:val="2022 Communication on EU Enlargement policy_x000d__x000d__x000d__x000d__x000d__x000d__x000d__x000d__x000d__x000d__x000b__x000d__x000d__x000d__x000d__x000d__x000d__x000d__x000d__x000d__x000d__x000b_"/>
    <w:docVar w:name="LW_PART_NBR" w:val="1"/>
    <w:docVar w:name="LW_PART_NBR_TOTAL" w:val="1"/>
    <w:docVar w:name="LW_REF.INST.NEW" w:val="SWD"/>
    <w:docVar w:name="LW_REF.INST.NEW_ADOPTED" w:val="final"/>
    <w:docVar w:name="LW_REF.INST.NEW_TEXT" w:val="(2022) 3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North Macedonia 2022 Report"/>
    <w:docVar w:name="LW_TYPE.DOC.CP" w:val="COMMISSION STAFF WORKING DOCUMENT"/>
    <w:docVar w:name="LW_TYPEACTEPRINCIPAL.CP" w:val="Communication from the Commission to the European Parliament, the Council, the European Economic and Social Committee and the Committee of the Regions"/>
    <w:docVar w:name="LwApiVersions" w:val="LW4CoDe 1.23.2.0; LW 8.0, Build 20211117"/>
  </w:docVars>
  <w:rsids>
    <w:rsidRoot w:val="0080081E"/>
    <w:rsid w:val="0001042D"/>
    <w:rsid w:val="00017807"/>
    <w:rsid w:val="00020CBE"/>
    <w:rsid w:val="00020F93"/>
    <w:rsid w:val="0002643D"/>
    <w:rsid w:val="00033E03"/>
    <w:rsid w:val="0003782E"/>
    <w:rsid w:val="000452BB"/>
    <w:rsid w:val="00045DE1"/>
    <w:rsid w:val="00053C17"/>
    <w:rsid w:val="0005414D"/>
    <w:rsid w:val="00057D66"/>
    <w:rsid w:val="00073A4F"/>
    <w:rsid w:val="00073D0D"/>
    <w:rsid w:val="0008150C"/>
    <w:rsid w:val="00085F81"/>
    <w:rsid w:val="00091F63"/>
    <w:rsid w:val="000B1065"/>
    <w:rsid w:val="000B383D"/>
    <w:rsid w:val="000C2D39"/>
    <w:rsid w:val="000E0850"/>
    <w:rsid w:val="000E0AE9"/>
    <w:rsid w:val="000E1E79"/>
    <w:rsid w:val="000E25A0"/>
    <w:rsid w:val="000E49DF"/>
    <w:rsid w:val="000E4C68"/>
    <w:rsid w:val="000E5D9F"/>
    <w:rsid w:val="000F0B1F"/>
    <w:rsid w:val="000F2C20"/>
    <w:rsid w:val="000F638C"/>
    <w:rsid w:val="00102BF7"/>
    <w:rsid w:val="00120000"/>
    <w:rsid w:val="0012222D"/>
    <w:rsid w:val="00124498"/>
    <w:rsid w:val="00131338"/>
    <w:rsid w:val="001515E8"/>
    <w:rsid w:val="001518CC"/>
    <w:rsid w:val="001602DC"/>
    <w:rsid w:val="0016522C"/>
    <w:rsid w:val="001935F5"/>
    <w:rsid w:val="001A50C5"/>
    <w:rsid w:val="001C0FA9"/>
    <w:rsid w:val="001C70DD"/>
    <w:rsid w:val="001D2026"/>
    <w:rsid w:val="001D5240"/>
    <w:rsid w:val="001D6B7A"/>
    <w:rsid w:val="00201B48"/>
    <w:rsid w:val="00205F26"/>
    <w:rsid w:val="00234A21"/>
    <w:rsid w:val="002520FA"/>
    <w:rsid w:val="002552B6"/>
    <w:rsid w:val="00270B93"/>
    <w:rsid w:val="0028572D"/>
    <w:rsid w:val="00285854"/>
    <w:rsid w:val="00287AC6"/>
    <w:rsid w:val="002A05B3"/>
    <w:rsid w:val="002B00BB"/>
    <w:rsid w:val="002B0B92"/>
    <w:rsid w:val="002C3473"/>
    <w:rsid w:val="002E49F1"/>
    <w:rsid w:val="0030787A"/>
    <w:rsid w:val="00313601"/>
    <w:rsid w:val="00321B12"/>
    <w:rsid w:val="00331D4D"/>
    <w:rsid w:val="00345756"/>
    <w:rsid w:val="00357FA3"/>
    <w:rsid w:val="003719CB"/>
    <w:rsid w:val="00380FF1"/>
    <w:rsid w:val="0038261C"/>
    <w:rsid w:val="003A3BE2"/>
    <w:rsid w:val="003B6FC7"/>
    <w:rsid w:val="003D4454"/>
    <w:rsid w:val="003E2600"/>
    <w:rsid w:val="003E32FC"/>
    <w:rsid w:val="003E399F"/>
    <w:rsid w:val="003E6263"/>
    <w:rsid w:val="003F3AE3"/>
    <w:rsid w:val="003F4454"/>
    <w:rsid w:val="00413537"/>
    <w:rsid w:val="00413A21"/>
    <w:rsid w:val="0042376E"/>
    <w:rsid w:val="00427BDD"/>
    <w:rsid w:val="00431917"/>
    <w:rsid w:val="004571BB"/>
    <w:rsid w:val="004624DB"/>
    <w:rsid w:val="00464586"/>
    <w:rsid w:val="00471BAD"/>
    <w:rsid w:val="00484095"/>
    <w:rsid w:val="00494A6A"/>
    <w:rsid w:val="00496A5F"/>
    <w:rsid w:val="004A7C25"/>
    <w:rsid w:val="004B22F2"/>
    <w:rsid w:val="004B4A47"/>
    <w:rsid w:val="004D314C"/>
    <w:rsid w:val="004E06AF"/>
    <w:rsid w:val="004E56AC"/>
    <w:rsid w:val="004E7661"/>
    <w:rsid w:val="004F3129"/>
    <w:rsid w:val="0051437C"/>
    <w:rsid w:val="00523415"/>
    <w:rsid w:val="00526026"/>
    <w:rsid w:val="00526D6B"/>
    <w:rsid w:val="005313BA"/>
    <w:rsid w:val="00533BB3"/>
    <w:rsid w:val="00550383"/>
    <w:rsid w:val="005631B2"/>
    <w:rsid w:val="00574572"/>
    <w:rsid w:val="00576DCC"/>
    <w:rsid w:val="00584250"/>
    <w:rsid w:val="005A2E6A"/>
    <w:rsid w:val="005A4ED1"/>
    <w:rsid w:val="005A53F2"/>
    <w:rsid w:val="005A7111"/>
    <w:rsid w:val="005C2589"/>
    <w:rsid w:val="00625093"/>
    <w:rsid w:val="0064432B"/>
    <w:rsid w:val="00644C6F"/>
    <w:rsid w:val="00645884"/>
    <w:rsid w:val="006462E4"/>
    <w:rsid w:val="00646E02"/>
    <w:rsid w:val="00670760"/>
    <w:rsid w:val="006762CA"/>
    <w:rsid w:val="006819CD"/>
    <w:rsid w:val="00686987"/>
    <w:rsid w:val="006909BE"/>
    <w:rsid w:val="006C5B4B"/>
    <w:rsid w:val="006C6960"/>
    <w:rsid w:val="006D1058"/>
    <w:rsid w:val="006D6207"/>
    <w:rsid w:val="006E0C51"/>
    <w:rsid w:val="006E17AA"/>
    <w:rsid w:val="006E4EB0"/>
    <w:rsid w:val="00705B41"/>
    <w:rsid w:val="007134BE"/>
    <w:rsid w:val="0073041A"/>
    <w:rsid w:val="0074374A"/>
    <w:rsid w:val="00746647"/>
    <w:rsid w:val="00754BC2"/>
    <w:rsid w:val="007647C2"/>
    <w:rsid w:val="00775AA6"/>
    <w:rsid w:val="007946EE"/>
    <w:rsid w:val="00797E4E"/>
    <w:rsid w:val="007A6BF3"/>
    <w:rsid w:val="007B0129"/>
    <w:rsid w:val="007D0068"/>
    <w:rsid w:val="007E685F"/>
    <w:rsid w:val="007F1FEA"/>
    <w:rsid w:val="007F442F"/>
    <w:rsid w:val="008004B8"/>
    <w:rsid w:val="0080081E"/>
    <w:rsid w:val="00805F4B"/>
    <w:rsid w:val="008064D7"/>
    <w:rsid w:val="00807C1C"/>
    <w:rsid w:val="00814E0A"/>
    <w:rsid w:val="00823DC0"/>
    <w:rsid w:val="00824F90"/>
    <w:rsid w:val="008278F8"/>
    <w:rsid w:val="008348F8"/>
    <w:rsid w:val="0084277B"/>
    <w:rsid w:val="00845B46"/>
    <w:rsid w:val="00847E72"/>
    <w:rsid w:val="00856719"/>
    <w:rsid w:val="00861E88"/>
    <w:rsid w:val="00864D2B"/>
    <w:rsid w:val="008766FA"/>
    <w:rsid w:val="00877019"/>
    <w:rsid w:val="00877DF5"/>
    <w:rsid w:val="00882722"/>
    <w:rsid w:val="00892E73"/>
    <w:rsid w:val="008A115D"/>
    <w:rsid w:val="008C3AAF"/>
    <w:rsid w:val="008C5140"/>
    <w:rsid w:val="008E25CE"/>
    <w:rsid w:val="008E34DE"/>
    <w:rsid w:val="008E4CAB"/>
    <w:rsid w:val="008F5B3B"/>
    <w:rsid w:val="009205F7"/>
    <w:rsid w:val="00924EBD"/>
    <w:rsid w:val="009300ED"/>
    <w:rsid w:val="00932B90"/>
    <w:rsid w:val="009406E6"/>
    <w:rsid w:val="00941CE4"/>
    <w:rsid w:val="00943B8B"/>
    <w:rsid w:val="00945A06"/>
    <w:rsid w:val="00947F36"/>
    <w:rsid w:val="00955633"/>
    <w:rsid w:val="00977511"/>
    <w:rsid w:val="00991A13"/>
    <w:rsid w:val="00993010"/>
    <w:rsid w:val="00996BDE"/>
    <w:rsid w:val="009A66BC"/>
    <w:rsid w:val="009A7421"/>
    <w:rsid w:val="009B00A2"/>
    <w:rsid w:val="009B1FB9"/>
    <w:rsid w:val="009B74CD"/>
    <w:rsid w:val="009C1ADF"/>
    <w:rsid w:val="009E3C75"/>
    <w:rsid w:val="00A06605"/>
    <w:rsid w:val="00A11267"/>
    <w:rsid w:val="00A1287A"/>
    <w:rsid w:val="00A1334A"/>
    <w:rsid w:val="00A16586"/>
    <w:rsid w:val="00A175FA"/>
    <w:rsid w:val="00A20BC7"/>
    <w:rsid w:val="00A27FD5"/>
    <w:rsid w:val="00A50BBD"/>
    <w:rsid w:val="00A72D36"/>
    <w:rsid w:val="00A80E65"/>
    <w:rsid w:val="00A834A2"/>
    <w:rsid w:val="00A95159"/>
    <w:rsid w:val="00AA3E7C"/>
    <w:rsid w:val="00AA4147"/>
    <w:rsid w:val="00AA72D4"/>
    <w:rsid w:val="00AB3DC7"/>
    <w:rsid w:val="00AC6B95"/>
    <w:rsid w:val="00B11125"/>
    <w:rsid w:val="00B208F0"/>
    <w:rsid w:val="00B2092A"/>
    <w:rsid w:val="00B343B6"/>
    <w:rsid w:val="00B34E7B"/>
    <w:rsid w:val="00B4203E"/>
    <w:rsid w:val="00B75C97"/>
    <w:rsid w:val="00B76634"/>
    <w:rsid w:val="00BA15CA"/>
    <w:rsid w:val="00BC1E01"/>
    <w:rsid w:val="00BC2E67"/>
    <w:rsid w:val="00BC5947"/>
    <w:rsid w:val="00BD3DB2"/>
    <w:rsid w:val="00BE5160"/>
    <w:rsid w:val="00BE77C6"/>
    <w:rsid w:val="00BF196B"/>
    <w:rsid w:val="00BF4564"/>
    <w:rsid w:val="00C2048C"/>
    <w:rsid w:val="00C2520C"/>
    <w:rsid w:val="00C36FAA"/>
    <w:rsid w:val="00C371CE"/>
    <w:rsid w:val="00C377A7"/>
    <w:rsid w:val="00C52045"/>
    <w:rsid w:val="00C66194"/>
    <w:rsid w:val="00C6674A"/>
    <w:rsid w:val="00C702DC"/>
    <w:rsid w:val="00C76C5A"/>
    <w:rsid w:val="00C82275"/>
    <w:rsid w:val="00C83C0A"/>
    <w:rsid w:val="00C85910"/>
    <w:rsid w:val="00C9671E"/>
    <w:rsid w:val="00CA25BA"/>
    <w:rsid w:val="00CA5255"/>
    <w:rsid w:val="00CA70E1"/>
    <w:rsid w:val="00CC6E64"/>
    <w:rsid w:val="00CD1880"/>
    <w:rsid w:val="00CD2279"/>
    <w:rsid w:val="00CD4115"/>
    <w:rsid w:val="00CD703B"/>
    <w:rsid w:val="00CD7BFF"/>
    <w:rsid w:val="00CE23BB"/>
    <w:rsid w:val="00D06635"/>
    <w:rsid w:val="00D162C8"/>
    <w:rsid w:val="00D203FE"/>
    <w:rsid w:val="00D21AD5"/>
    <w:rsid w:val="00D22E8A"/>
    <w:rsid w:val="00D26FC4"/>
    <w:rsid w:val="00D27543"/>
    <w:rsid w:val="00D467B1"/>
    <w:rsid w:val="00D51B59"/>
    <w:rsid w:val="00D61F59"/>
    <w:rsid w:val="00D62A6E"/>
    <w:rsid w:val="00D6411B"/>
    <w:rsid w:val="00D6736B"/>
    <w:rsid w:val="00D83430"/>
    <w:rsid w:val="00D84FF7"/>
    <w:rsid w:val="00D90CC9"/>
    <w:rsid w:val="00D93590"/>
    <w:rsid w:val="00D97752"/>
    <w:rsid w:val="00DA1877"/>
    <w:rsid w:val="00DA5A21"/>
    <w:rsid w:val="00DB5B31"/>
    <w:rsid w:val="00DB63C6"/>
    <w:rsid w:val="00DC6320"/>
    <w:rsid w:val="00DD22BF"/>
    <w:rsid w:val="00DF1B80"/>
    <w:rsid w:val="00DF5D81"/>
    <w:rsid w:val="00DF6B35"/>
    <w:rsid w:val="00E003C4"/>
    <w:rsid w:val="00E11CE9"/>
    <w:rsid w:val="00E201D1"/>
    <w:rsid w:val="00E257D4"/>
    <w:rsid w:val="00E261C5"/>
    <w:rsid w:val="00E42F67"/>
    <w:rsid w:val="00E448FB"/>
    <w:rsid w:val="00E53F9E"/>
    <w:rsid w:val="00E62324"/>
    <w:rsid w:val="00E76F5D"/>
    <w:rsid w:val="00E777DD"/>
    <w:rsid w:val="00E87DC2"/>
    <w:rsid w:val="00EB0E56"/>
    <w:rsid w:val="00EB2248"/>
    <w:rsid w:val="00EB7378"/>
    <w:rsid w:val="00EC1CAA"/>
    <w:rsid w:val="00EC3C12"/>
    <w:rsid w:val="00ED4D63"/>
    <w:rsid w:val="00F17626"/>
    <w:rsid w:val="00F236FD"/>
    <w:rsid w:val="00F3313A"/>
    <w:rsid w:val="00F34522"/>
    <w:rsid w:val="00F35817"/>
    <w:rsid w:val="00F45D5F"/>
    <w:rsid w:val="00F503A5"/>
    <w:rsid w:val="00F665D7"/>
    <w:rsid w:val="00F752F4"/>
    <w:rsid w:val="00F91CBD"/>
    <w:rsid w:val="00FA1E9C"/>
    <w:rsid w:val="00FA5E65"/>
    <w:rsid w:val="00FA775D"/>
    <w:rsid w:val="00FB637B"/>
    <w:rsid w:val="00FD2DAF"/>
    <w:rsid w:val="00FE19FA"/>
    <w:rsid w:val="00FF030B"/>
    <w:rsid w:val="00FF04E0"/>
    <w:rsid w:val="00FF0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93E8D"/>
  <w15:docId w15:val="{39DA9848-36A1-4F3E-85CD-9619182E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mk-MK" w:bidi="mk-M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F26"/>
  </w:style>
  <w:style w:type="paragraph" w:styleId="Heading1">
    <w:name w:val="heading 1"/>
    <w:basedOn w:val="Normal"/>
    <w:next w:val="Normal"/>
    <w:link w:val="Heading1Char"/>
    <w:autoRedefine/>
    <w:qFormat/>
    <w:rsid w:val="00131338"/>
    <w:pPr>
      <w:keepNext/>
      <w:keepLines/>
      <w:spacing w:before="240" w:after="0" w:line="276" w:lineRule="auto"/>
      <w:outlineLvl w:val="0"/>
    </w:pPr>
    <w:rPr>
      <w:rFonts w:ascii="Times New Roman Bold" w:eastAsia="Times New Roman" w:hAnsi="Times New Roman Bold" w:cstheme="majorBidi"/>
      <w:b/>
      <w:caps/>
      <w:sz w:val="24"/>
      <w:szCs w:val="32"/>
    </w:rPr>
  </w:style>
  <w:style w:type="paragraph" w:styleId="Heading2">
    <w:name w:val="heading 2"/>
    <w:basedOn w:val="Normal"/>
    <w:next w:val="Normal"/>
    <w:link w:val="Heading2Char"/>
    <w:autoRedefine/>
    <w:unhideWhenUsed/>
    <w:qFormat/>
    <w:rsid w:val="00131338"/>
    <w:pPr>
      <w:keepNext/>
      <w:spacing w:before="120" w:after="120" w:line="240" w:lineRule="auto"/>
      <w:outlineLvl w:val="1"/>
    </w:pPr>
    <w:rPr>
      <w:rFonts w:ascii="Times New Roman" w:eastAsia="Times New Roman" w:hAnsi="Times New Roman" w:cs="Times New Roman"/>
      <w:b/>
      <w:bCs/>
      <w:smallCaps/>
      <w:color w:val="000000" w:themeColor="text1"/>
      <w:sz w:val="24"/>
      <w:szCs w:val="24"/>
    </w:rPr>
  </w:style>
  <w:style w:type="paragraph" w:styleId="Heading3">
    <w:name w:val="heading 3"/>
    <w:basedOn w:val="Normal"/>
    <w:next w:val="Normal"/>
    <w:link w:val="Heading3Char"/>
    <w:autoRedefine/>
    <w:unhideWhenUsed/>
    <w:qFormat/>
    <w:rsid w:val="001D2026"/>
    <w:pPr>
      <w:spacing w:before="120" w:after="120" w:line="240" w:lineRule="auto"/>
      <w:outlineLvl w:val="2"/>
    </w:pPr>
    <w:rPr>
      <w:rFonts w:ascii="Times New Roman" w:hAnsi="Times New Roman" w:cs="Times New Roman"/>
      <w:b/>
      <w:sz w:val="24"/>
      <w:szCs w:val="24"/>
    </w:rPr>
  </w:style>
  <w:style w:type="paragraph" w:styleId="Heading4">
    <w:name w:val="heading 4"/>
    <w:basedOn w:val="Normal"/>
    <w:next w:val="Text1"/>
    <w:link w:val="Heading4Char"/>
    <w:unhideWhenUsed/>
    <w:qFormat/>
    <w:rsid w:val="00131338"/>
    <w:pPr>
      <w:keepNext/>
      <w:numPr>
        <w:ilvl w:val="3"/>
        <w:numId w:val="32"/>
      </w:numPr>
      <w:tabs>
        <w:tab w:val="num" w:pos="850"/>
      </w:tabs>
      <w:spacing w:before="120" w:after="120" w:line="240" w:lineRule="auto"/>
      <w:jc w:val="both"/>
      <w:outlineLvl w:val="3"/>
    </w:pPr>
    <w:rPr>
      <w:rFonts w:ascii="Times New Roman" w:eastAsia="Times New Roman" w:hAnsi="Times New Roman" w:cs="Times New Roman"/>
      <w:bCs/>
      <w:sz w:val="24"/>
      <w:szCs w:val="28"/>
    </w:rPr>
  </w:style>
  <w:style w:type="paragraph" w:styleId="Heading5">
    <w:name w:val="heading 5"/>
    <w:basedOn w:val="Normal"/>
    <w:next w:val="Normal"/>
    <w:link w:val="Heading5Char"/>
    <w:uiPriority w:val="9"/>
    <w:semiHidden/>
    <w:unhideWhenUsed/>
    <w:qFormat/>
    <w:rsid w:val="00131338"/>
    <w:pPr>
      <w:keepNext/>
      <w:keepLines/>
      <w:numPr>
        <w:ilvl w:val="4"/>
        <w:numId w:val="32"/>
      </w:numPr>
      <w:spacing w:before="40" w:after="0" w:line="276" w:lineRule="auto"/>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31338"/>
    <w:pPr>
      <w:keepNext/>
      <w:keepLines/>
      <w:numPr>
        <w:ilvl w:val="5"/>
        <w:numId w:val="32"/>
      </w:numPr>
      <w:spacing w:before="40" w:after="0" w:line="276"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31338"/>
    <w:pPr>
      <w:keepNext/>
      <w:keepLines/>
      <w:numPr>
        <w:ilvl w:val="6"/>
        <w:numId w:val="32"/>
      </w:numPr>
      <w:spacing w:before="40" w:after="0" w:line="276"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31338"/>
    <w:pPr>
      <w:keepNext/>
      <w:keepLines/>
      <w:numPr>
        <w:ilvl w:val="7"/>
        <w:numId w:val="32"/>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31338"/>
    <w:pPr>
      <w:keepNext/>
      <w:keepLines/>
      <w:numPr>
        <w:ilvl w:val="8"/>
        <w:numId w:val="32"/>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sid w:val="0080081E"/>
    <w:rPr>
      <w:color w:val="0000FF"/>
      <w:shd w:val="clear" w:color="auto" w:fill="auto"/>
    </w:rPr>
  </w:style>
  <w:style w:type="paragraph" w:styleId="Header">
    <w:name w:val="header"/>
    <w:basedOn w:val="Normal"/>
    <w:link w:val="HeaderChar"/>
    <w:uiPriority w:val="99"/>
    <w:unhideWhenUsed/>
    <w:rsid w:val="008008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81E"/>
  </w:style>
  <w:style w:type="paragraph" w:styleId="Footer">
    <w:name w:val="footer"/>
    <w:basedOn w:val="Normal"/>
    <w:link w:val="FooterChar"/>
    <w:unhideWhenUsed/>
    <w:rsid w:val="0080081E"/>
    <w:pPr>
      <w:tabs>
        <w:tab w:val="center" w:pos="4680"/>
        <w:tab w:val="right" w:pos="9360"/>
      </w:tabs>
      <w:spacing w:after="0" w:line="240" w:lineRule="auto"/>
    </w:pPr>
  </w:style>
  <w:style w:type="character" w:customStyle="1" w:styleId="FooterChar">
    <w:name w:val="Footer Char"/>
    <w:basedOn w:val="DefaultParagraphFont"/>
    <w:link w:val="Footer"/>
    <w:rsid w:val="0080081E"/>
  </w:style>
  <w:style w:type="paragraph" w:customStyle="1" w:styleId="Pagedecouverture">
    <w:name w:val="Page de couverture"/>
    <w:basedOn w:val="Normal"/>
    <w:next w:val="Normal"/>
    <w:rsid w:val="0080081E"/>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80081E"/>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80081E"/>
    <w:rPr>
      <w:rFonts w:ascii="Times New Roman" w:hAnsi="Times New Roman" w:cs="Times New Roman"/>
      <w:sz w:val="24"/>
    </w:rPr>
  </w:style>
  <w:style w:type="paragraph" w:customStyle="1" w:styleId="FooterSensitivity">
    <w:name w:val="Footer Sensitivity"/>
    <w:basedOn w:val="Normal"/>
    <w:link w:val="FooterSensitivityChar"/>
    <w:rsid w:val="0080081E"/>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80081E"/>
    <w:rPr>
      <w:rFonts w:ascii="Times New Roman" w:hAnsi="Times New Roman" w:cs="Times New Roman"/>
      <w:b/>
      <w:sz w:val="32"/>
    </w:rPr>
  </w:style>
  <w:style w:type="paragraph" w:customStyle="1" w:styleId="HeaderCoverPage">
    <w:name w:val="Header Cover Page"/>
    <w:basedOn w:val="Normal"/>
    <w:link w:val="HeaderCoverPageChar"/>
    <w:rsid w:val="0080081E"/>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80081E"/>
    <w:rPr>
      <w:rFonts w:ascii="Times New Roman" w:hAnsi="Times New Roman" w:cs="Times New Roman"/>
      <w:sz w:val="24"/>
    </w:rPr>
  </w:style>
  <w:style w:type="paragraph" w:customStyle="1" w:styleId="HeaderSensitivity">
    <w:name w:val="Header Sensitivity"/>
    <w:basedOn w:val="Normal"/>
    <w:link w:val="HeaderSensitivityChar"/>
    <w:rsid w:val="0080081E"/>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80081E"/>
    <w:rPr>
      <w:rFonts w:ascii="Times New Roman" w:hAnsi="Times New Roman" w:cs="Times New Roman"/>
      <w:b/>
      <w:sz w:val="32"/>
    </w:rPr>
  </w:style>
  <w:style w:type="paragraph" w:customStyle="1" w:styleId="HeaderSensitivityRight">
    <w:name w:val="Header Sensitivity Right"/>
    <w:basedOn w:val="Normal"/>
    <w:link w:val="HeaderSensitivityRightChar"/>
    <w:rsid w:val="0080081E"/>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80081E"/>
    <w:rPr>
      <w:rFonts w:ascii="Times New Roman" w:hAnsi="Times New Roman" w:cs="Times New Roman"/>
      <w:sz w:val="28"/>
    </w:rPr>
  </w:style>
  <w:style w:type="character" w:customStyle="1" w:styleId="Heading1Char">
    <w:name w:val="Heading 1 Char"/>
    <w:basedOn w:val="DefaultParagraphFont"/>
    <w:link w:val="Heading1"/>
    <w:rsid w:val="00131338"/>
    <w:rPr>
      <w:rFonts w:ascii="Times New Roman Bold" w:eastAsia="Times New Roman" w:hAnsi="Times New Roman Bold" w:cstheme="majorBidi"/>
      <w:b/>
      <w:caps/>
      <w:sz w:val="24"/>
      <w:szCs w:val="32"/>
      <w:lang w:eastAsia="mk-MK"/>
    </w:rPr>
  </w:style>
  <w:style w:type="character" w:customStyle="1" w:styleId="Heading2Char">
    <w:name w:val="Heading 2 Char"/>
    <w:basedOn w:val="DefaultParagraphFont"/>
    <w:link w:val="Heading2"/>
    <w:rsid w:val="00131338"/>
    <w:rPr>
      <w:rFonts w:ascii="Times New Roman" w:eastAsia="Times New Roman" w:hAnsi="Times New Roman" w:cs="Times New Roman"/>
      <w:b/>
      <w:bCs/>
      <w:smallCaps/>
      <w:color w:val="000000" w:themeColor="text1"/>
      <w:sz w:val="24"/>
      <w:szCs w:val="24"/>
      <w:lang w:eastAsia="mk-MK"/>
    </w:rPr>
  </w:style>
  <w:style w:type="character" w:customStyle="1" w:styleId="Heading3Char">
    <w:name w:val="Heading 3 Char"/>
    <w:basedOn w:val="DefaultParagraphFont"/>
    <w:link w:val="Heading3"/>
    <w:rsid w:val="001D2026"/>
    <w:rPr>
      <w:rFonts w:ascii="Times New Roman" w:hAnsi="Times New Roman" w:cs="Times New Roman"/>
      <w:b/>
      <w:sz w:val="24"/>
      <w:szCs w:val="24"/>
    </w:rPr>
  </w:style>
  <w:style w:type="character" w:customStyle="1" w:styleId="Heading4Char">
    <w:name w:val="Heading 4 Char"/>
    <w:basedOn w:val="DefaultParagraphFont"/>
    <w:link w:val="Heading4"/>
    <w:rsid w:val="00131338"/>
    <w:rPr>
      <w:rFonts w:ascii="Times New Roman" w:eastAsia="Times New Roman" w:hAnsi="Times New Roman" w:cs="Times New Roman"/>
      <w:bCs/>
      <w:sz w:val="24"/>
      <w:szCs w:val="28"/>
    </w:rPr>
  </w:style>
  <w:style w:type="character" w:customStyle="1" w:styleId="Heading5Char">
    <w:name w:val="Heading 5 Char"/>
    <w:basedOn w:val="DefaultParagraphFont"/>
    <w:link w:val="Heading5"/>
    <w:uiPriority w:val="9"/>
    <w:semiHidden/>
    <w:rsid w:val="001313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313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313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313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31338"/>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qFormat/>
    <w:rsid w:val="00131338"/>
    <w:pPr>
      <w:tabs>
        <w:tab w:val="right" w:leader="dot" w:pos="9071"/>
      </w:tabs>
      <w:spacing w:before="60" w:after="120" w:line="240" w:lineRule="auto"/>
      <w:ind w:left="1135" w:hanging="851"/>
    </w:pPr>
    <w:rPr>
      <w:rFonts w:ascii="Times New Roman Bold" w:eastAsia="Times New Roman" w:hAnsi="Times New Roman Bold" w:cs="Times New Roman"/>
      <w:b/>
      <w:smallCaps/>
      <w:sz w:val="24"/>
      <w:szCs w:val="24"/>
    </w:rPr>
  </w:style>
  <w:style w:type="paragraph" w:styleId="TOC1">
    <w:name w:val="toc 1"/>
    <w:basedOn w:val="Normal"/>
    <w:next w:val="Normal"/>
    <w:autoRedefine/>
    <w:uiPriority w:val="39"/>
    <w:qFormat/>
    <w:rsid w:val="00131338"/>
    <w:pPr>
      <w:tabs>
        <w:tab w:val="right" w:leader="dot" w:pos="9071"/>
      </w:tabs>
      <w:spacing w:before="60" w:after="120" w:line="240" w:lineRule="auto"/>
      <w:ind w:left="850" w:hanging="850"/>
    </w:pPr>
    <w:rPr>
      <w:rFonts w:ascii="Times New Roman Bold" w:eastAsia="Times New Roman" w:hAnsi="Times New Roman Bold" w:cs="Times New Roman"/>
      <w:b/>
      <w:caps/>
      <w:sz w:val="24"/>
      <w:szCs w:val="24"/>
    </w:rPr>
  </w:style>
  <w:style w:type="paragraph" w:styleId="TOC3">
    <w:name w:val="toc 3"/>
    <w:basedOn w:val="Normal"/>
    <w:next w:val="Normal"/>
    <w:autoRedefine/>
    <w:uiPriority w:val="39"/>
    <w:qFormat/>
    <w:rsid w:val="00131338"/>
    <w:pPr>
      <w:tabs>
        <w:tab w:val="right" w:leader="dot" w:pos="9071"/>
      </w:tabs>
      <w:spacing w:before="60" w:after="120" w:line="240" w:lineRule="auto"/>
      <w:ind w:left="1815" w:hanging="851"/>
    </w:pPr>
    <w:rPr>
      <w:rFonts w:ascii="Times New Roman" w:eastAsia="Times New Roman" w:hAnsi="Times New Roman" w:cs="Times New Roman"/>
      <w:sz w:val="24"/>
      <w:szCs w:val="24"/>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uiPriority w:val="99"/>
    <w:qFormat/>
    <w:locked/>
    <w:rsid w:val="00131338"/>
    <w:rPr>
      <w:sz w:val="20"/>
      <w:szCs w:val="20"/>
    </w:r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iPriority w:val="99"/>
    <w:unhideWhenUsed/>
    <w:qFormat/>
    <w:rsid w:val="00131338"/>
    <w:pPr>
      <w:spacing w:after="0" w:line="240" w:lineRule="auto"/>
    </w:pPr>
    <w:rPr>
      <w:sz w:val="20"/>
      <w:szCs w:val="20"/>
    </w:rPr>
  </w:style>
  <w:style w:type="character" w:customStyle="1" w:styleId="FootnoteTextChar1">
    <w:name w:val="Footnote Text Char1"/>
    <w:aliases w:val="single space Char1,footnote text Char1,Tekst przypisu Char2,Tekst przypisu Char Char1,Footnote Text Char1 Char Char1,Footnote Text Char Char Char Char1,Footnote Text Char Char Char2,Footnote Text Char1 Char Char Char Char Char1"/>
    <w:basedOn w:val="DefaultParagraphFont"/>
    <w:rsid w:val="00131338"/>
    <w:rPr>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BVIfnrChar1CharCharChar"/>
    <w:unhideWhenUsed/>
    <w:qFormat/>
    <w:rsid w:val="00131338"/>
    <w:rPr>
      <w:vertAlign w:val="superscript"/>
    </w:r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rsid w:val="00131338"/>
    <w:pPr>
      <w:spacing w:line="240" w:lineRule="exact"/>
    </w:pPr>
    <w:rPr>
      <w:vertAlign w:val="superscript"/>
    </w:rPr>
  </w:style>
  <w:style w:type="paragraph" w:styleId="BalloonText">
    <w:name w:val="Balloon Text"/>
    <w:basedOn w:val="Normal"/>
    <w:link w:val="BalloonTextChar"/>
    <w:semiHidden/>
    <w:unhideWhenUsed/>
    <w:rsid w:val="001313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31338"/>
    <w:rPr>
      <w:rFonts w:ascii="Segoe UI" w:hAnsi="Segoe UI" w:cs="Segoe UI"/>
      <w:sz w:val="18"/>
      <w:szCs w:val="18"/>
    </w:rPr>
  </w:style>
  <w:style w:type="paragraph" w:styleId="CommentText">
    <w:name w:val="annotation text"/>
    <w:basedOn w:val="Normal"/>
    <w:link w:val="CommentTextChar"/>
    <w:unhideWhenUsed/>
    <w:qFormat/>
    <w:rsid w:val="00131338"/>
    <w:pPr>
      <w:spacing w:line="240" w:lineRule="auto"/>
    </w:pPr>
    <w:rPr>
      <w:sz w:val="20"/>
      <w:szCs w:val="20"/>
    </w:rPr>
  </w:style>
  <w:style w:type="character" w:customStyle="1" w:styleId="CommentTextChar">
    <w:name w:val="Comment Text Char"/>
    <w:basedOn w:val="DefaultParagraphFont"/>
    <w:link w:val="CommentText"/>
    <w:qFormat/>
    <w:rsid w:val="00131338"/>
    <w:rPr>
      <w:sz w:val="20"/>
      <w:szCs w:val="20"/>
    </w:rPr>
  </w:style>
  <w:style w:type="paragraph" w:customStyle="1" w:styleId="Default">
    <w:name w:val="Default"/>
    <w:rsid w:val="00131338"/>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nhideWhenUsed/>
    <w:qFormat/>
    <w:rsid w:val="00131338"/>
    <w:rPr>
      <w:sz w:val="16"/>
      <w:szCs w:val="16"/>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basedOn w:val="DefaultParagraphFont"/>
    <w:link w:val="ListParagraph"/>
    <w:qFormat/>
    <w:locked/>
    <w:rsid w:val="00131338"/>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qFormat/>
    <w:rsid w:val="00131338"/>
    <w:pPr>
      <w:spacing w:line="256" w:lineRule="auto"/>
      <w:ind w:left="720"/>
      <w:contextualSpacing/>
    </w:pPr>
  </w:style>
  <w:style w:type="character" w:customStyle="1" w:styleId="NumberedChar">
    <w:name w:val="Numbered Char"/>
    <w:link w:val="Numbered"/>
    <w:locked/>
    <w:rsid w:val="00131338"/>
    <w:rPr>
      <w:rFonts w:ascii="Times New Roman" w:eastAsia="Times New Roman" w:hAnsi="Times New Roman" w:cs="Times New Roman"/>
      <w:sz w:val="24"/>
      <w:szCs w:val="24"/>
      <w:lang w:val="mk-MK" w:eastAsia="mk-MK"/>
    </w:rPr>
  </w:style>
  <w:style w:type="paragraph" w:customStyle="1" w:styleId="Numbered">
    <w:name w:val="Numbered"/>
    <w:basedOn w:val="Normal"/>
    <w:link w:val="NumberedChar"/>
    <w:rsid w:val="00131338"/>
    <w:pPr>
      <w:spacing w:before="120" w:after="120" w:line="240" w:lineRule="auto"/>
      <w:ind w:firstLine="180"/>
      <w:jc w:val="both"/>
    </w:pPr>
    <w:rPr>
      <w:rFonts w:ascii="Times New Roman" w:eastAsia="Times New Roman" w:hAnsi="Times New Roman" w:cs="Times New Roman"/>
      <w:sz w:val="24"/>
      <w:szCs w:val="24"/>
    </w:rPr>
  </w:style>
  <w:style w:type="character" w:customStyle="1" w:styleId="jlqj4b">
    <w:name w:val="jlqj4b"/>
    <w:basedOn w:val="DefaultParagraphFont"/>
    <w:rsid w:val="00131338"/>
  </w:style>
  <w:style w:type="character" w:customStyle="1" w:styleId="q4iawc">
    <w:name w:val="q4iawc"/>
    <w:basedOn w:val="DefaultParagraphFont"/>
    <w:rsid w:val="00131338"/>
  </w:style>
  <w:style w:type="character" w:customStyle="1" w:styleId="viiyi">
    <w:name w:val="viiyi"/>
    <w:basedOn w:val="DefaultParagraphFont"/>
    <w:rsid w:val="00131338"/>
  </w:style>
  <w:style w:type="character" w:styleId="Hyperlink">
    <w:name w:val="Hyperlink"/>
    <w:basedOn w:val="DefaultParagraphFont"/>
    <w:uiPriority w:val="99"/>
    <w:unhideWhenUsed/>
    <w:rsid w:val="00131338"/>
    <w:rPr>
      <w:color w:val="0563C1" w:themeColor="hyperlink"/>
      <w:u w:val="single"/>
    </w:rPr>
  </w:style>
  <w:style w:type="character" w:styleId="FollowedHyperlink">
    <w:name w:val="FollowedHyperlink"/>
    <w:basedOn w:val="DefaultParagraphFont"/>
    <w:unhideWhenUsed/>
    <w:rsid w:val="00131338"/>
    <w:rPr>
      <w:color w:val="954F72" w:themeColor="followedHyperlink"/>
      <w:u w:val="single"/>
    </w:rPr>
  </w:style>
  <w:style w:type="paragraph" w:customStyle="1" w:styleId="Text1">
    <w:name w:val="Text 1"/>
    <w:basedOn w:val="Normal"/>
    <w:rsid w:val="00131338"/>
    <w:pPr>
      <w:spacing w:before="120" w:after="120" w:line="240" w:lineRule="auto"/>
      <w:ind w:left="850"/>
      <w:jc w:val="both"/>
    </w:pPr>
    <w:rPr>
      <w:rFonts w:ascii="Times New Roman" w:eastAsia="Times New Roman" w:hAnsi="Times New Roman" w:cs="Times New Roman"/>
      <w:sz w:val="24"/>
      <w:szCs w:val="24"/>
    </w:rPr>
  </w:style>
  <w:style w:type="paragraph" w:customStyle="1" w:styleId="msonormal0">
    <w:name w:val="msonormal"/>
    <w:basedOn w:val="Normal"/>
    <w:uiPriority w:val="99"/>
    <w:semiHidden/>
    <w:rsid w:val="0013133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31338"/>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nhideWhenUsed/>
    <w:rsid w:val="00131338"/>
    <w:pPr>
      <w:spacing w:after="0" w:line="276" w:lineRule="auto"/>
      <w:ind w:left="440"/>
    </w:pPr>
    <w:rPr>
      <w:rFonts w:cstheme="minorHAnsi"/>
      <w:sz w:val="20"/>
      <w:szCs w:val="20"/>
    </w:rPr>
  </w:style>
  <w:style w:type="paragraph" w:styleId="TOC5">
    <w:name w:val="toc 5"/>
    <w:basedOn w:val="Normal"/>
    <w:next w:val="Normal"/>
    <w:autoRedefine/>
    <w:unhideWhenUsed/>
    <w:rsid w:val="00131338"/>
    <w:pPr>
      <w:spacing w:after="0" w:line="276" w:lineRule="auto"/>
      <w:ind w:left="660"/>
    </w:pPr>
    <w:rPr>
      <w:rFonts w:cstheme="minorHAnsi"/>
      <w:sz w:val="20"/>
      <w:szCs w:val="20"/>
    </w:rPr>
  </w:style>
  <w:style w:type="paragraph" w:styleId="TOC6">
    <w:name w:val="toc 6"/>
    <w:basedOn w:val="Normal"/>
    <w:next w:val="Normal"/>
    <w:autoRedefine/>
    <w:unhideWhenUsed/>
    <w:rsid w:val="00131338"/>
    <w:pPr>
      <w:spacing w:after="0" w:line="276" w:lineRule="auto"/>
      <w:ind w:left="880"/>
    </w:pPr>
    <w:rPr>
      <w:rFonts w:cstheme="minorHAnsi"/>
      <w:sz w:val="20"/>
      <w:szCs w:val="20"/>
    </w:rPr>
  </w:style>
  <w:style w:type="paragraph" w:styleId="TOC7">
    <w:name w:val="toc 7"/>
    <w:basedOn w:val="Normal"/>
    <w:next w:val="Normal"/>
    <w:autoRedefine/>
    <w:unhideWhenUsed/>
    <w:rsid w:val="00131338"/>
    <w:pPr>
      <w:spacing w:after="0" w:line="276" w:lineRule="auto"/>
      <w:ind w:left="1100"/>
    </w:pPr>
    <w:rPr>
      <w:rFonts w:cstheme="minorHAnsi"/>
      <w:sz w:val="20"/>
      <w:szCs w:val="20"/>
    </w:rPr>
  </w:style>
  <w:style w:type="paragraph" w:styleId="TOC8">
    <w:name w:val="toc 8"/>
    <w:basedOn w:val="Normal"/>
    <w:next w:val="Normal"/>
    <w:autoRedefine/>
    <w:unhideWhenUsed/>
    <w:rsid w:val="00131338"/>
    <w:pPr>
      <w:spacing w:after="0" w:line="276" w:lineRule="auto"/>
      <w:ind w:left="1320"/>
    </w:pPr>
    <w:rPr>
      <w:rFonts w:cstheme="minorHAnsi"/>
      <w:sz w:val="20"/>
      <w:szCs w:val="20"/>
    </w:rPr>
  </w:style>
  <w:style w:type="paragraph" w:styleId="TOC9">
    <w:name w:val="toc 9"/>
    <w:basedOn w:val="Normal"/>
    <w:next w:val="Normal"/>
    <w:autoRedefine/>
    <w:unhideWhenUsed/>
    <w:rsid w:val="00131338"/>
    <w:pPr>
      <w:spacing w:after="0" w:line="276" w:lineRule="auto"/>
      <w:ind w:left="1540"/>
    </w:pPr>
    <w:rPr>
      <w:rFonts w:cstheme="minorHAnsi"/>
      <w:sz w:val="20"/>
      <w:szCs w:val="20"/>
    </w:rPr>
  </w:style>
  <w:style w:type="paragraph" w:styleId="Caption">
    <w:name w:val="caption"/>
    <w:basedOn w:val="Normal"/>
    <w:next w:val="Normal"/>
    <w:unhideWhenUsed/>
    <w:qFormat/>
    <w:rsid w:val="00131338"/>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unhideWhenUsed/>
    <w:rsid w:val="00131338"/>
    <w:pPr>
      <w:spacing w:before="120" w:after="120" w:line="240" w:lineRule="auto"/>
      <w:jc w:val="both"/>
    </w:pPr>
    <w:rPr>
      <w:rFonts w:ascii="Times New Roman" w:eastAsia="Times New Roman" w:hAnsi="Times New Roman" w:cs="Times New Roman"/>
      <w:sz w:val="24"/>
      <w:szCs w:val="24"/>
    </w:rPr>
  </w:style>
  <w:style w:type="paragraph" w:styleId="ListBullet">
    <w:name w:val="List Bullet"/>
    <w:basedOn w:val="Normal"/>
    <w:unhideWhenUsed/>
    <w:rsid w:val="00131338"/>
    <w:pPr>
      <w:numPr>
        <w:numId w:val="3"/>
      </w:numPr>
      <w:tabs>
        <w:tab w:val="num" w:pos="283"/>
      </w:tabs>
      <w:spacing w:before="120" w:after="120" w:line="240" w:lineRule="auto"/>
      <w:ind w:left="283" w:hanging="283"/>
      <w:jc w:val="both"/>
    </w:pPr>
    <w:rPr>
      <w:rFonts w:ascii="Times New Roman" w:eastAsia="Times New Roman" w:hAnsi="Times New Roman" w:cs="Times New Roman"/>
      <w:sz w:val="24"/>
      <w:szCs w:val="24"/>
    </w:rPr>
  </w:style>
  <w:style w:type="paragraph" w:styleId="ListNumber">
    <w:name w:val="List Number"/>
    <w:basedOn w:val="Normal"/>
    <w:unhideWhenUsed/>
    <w:rsid w:val="00131338"/>
    <w:pPr>
      <w:numPr>
        <w:numId w:val="4"/>
      </w:numPr>
      <w:spacing w:before="120" w:after="120" w:line="240" w:lineRule="auto"/>
      <w:jc w:val="both"/>
    </w:pPr>
    <w:rPr>
      <w:rFonts w:ascii="Times New Roman" w:eastAsia="Times New Roman" w:hAnsi="Times New Roman" w:cs="Times New Roman"/>
      <w:sz w:val="24"/>
      <w:szCs w:val="24"/>
    </w:rPr>
  </w:style>
  <w:style w:type="paragraph" w:styleId="ListBullet2">
    <w:name w:val="List Bullet 2"/>
    <w:basedOn w:val="Normal"/>
    <w:unhideWhenUsed/>
    <w:rsid w:val="00131338"/>
    <w:pPr>
      <w:numPr>
        <w:numId w:val="5"/>
      </w:numPr>
      <w:tabs>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Bullet3">
    <w:name w:val="List Bullet 3"/>
    <w:basedOn w:val="Normal"/>
    <w:unhideWhenUsed/>
    <w:rsid w:val="00131338"/>
    <w:pPr>
      <w:numPr>
        <w:numId w:val="6"/>
      </w:numPr>
      <w:tabs>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Bullet4">
    <w:name w:val="List Bullet 4"/>
    <w:basedOn w:val="Normal"/>
    <w:unhideWhenUsed/>
    <w:rsid w:val="00131338"/>
    <w:pPr>
      <w:numPr>
        <w:numId w:val="7"/>
      </w:numPr>
      <w:tabs>
        <w:tab w:val="num" w:pos="1134"/>
      </w:tabs>
      <w:spacing w:before="120" w:after="120" w:line="240" w:lineRule="auto"/>
      <w:ind w:left="1134" w:hanging="283"/>
      <w:jc w:val="both"/>
    </w:pPr>
    <w:rPr>
      <w:rFonts w:ascii="Times New Roman" w:eastAsia="Times New Roman" w:hAnsi="Times New Roman" w:cs="Times New Roman"/>
      <w:sz w:val="24"/>
      <w:szCs w:val="24"/>
    </w:rPr>
  </w:style>
  <w:style w:type="paragraph" w:styleId="ListNumber2">
    <w:name w:val="List Number 2"/>
    <w:basedOn w:val="Normal"/>
    <w:unhideWhenUsed/>
    <w:rsid w:val="00131338"/>
    <w:pPr>
      <w:numPr>
        <w:numId w:val="8"/>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unhideWhenUsed/>
    <w:rsid w:val="00131338"/>
    <w:pPr>
      <w:numPr>
        <w:numId w:val="9"/>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unhideWhenUsed/>
    <w:rsid w:val="00131338"/>
    <w:pPr>
      <w:numPr>
        <w:numId w:val="10"/>
      </w:numPr>
      <w:spacing w:before="120" w:after="120" w:line="240" w:lineRule="auto"/>
      <w:jc w:val="both"/>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131338"/>
    <w:rPr>
      <w:b/>
      <w:bCs/>
    </w:rPr>
  </w:style>
  <w:style w:type="character" w:customStyle="1" w:styleId="CommentSubjectChar">
    <w:name w:val="Comment Subject Char"/>
    <w:basedOn w:val="CommentTextChar"/>
    <w:link w:val="CommentSubject"/>
    <w:semiHidden/>
    <w:rsid w:val="00131338"/>
    <w:rPr>
      <w:b/>
      <w:bCs/>
      <w:sz w:val="20"/>
      <w:szCs w:val="20"/>
    </w:rPr>
  </w:style>
  <w:style w:type="paragraph" w:styleId="Revision">
    <w:name w:val="Revision"/>
    <w:uiPriority w:val="99"/>
    <w:semiHidden/>
    <w:rsid w:val="00131338"/>
    <w:pPr>
      <w:spacing w:after="0" w:line="240" w:lineRule="auto"/>
    </w:pPr>
  </w:style>
  <w:style w:type="character" w:customStyle="1" w:styleId="TOCHeadingChar">
    <w:name w:val="TOC Heading Char"/>
    <w:basedOn w:val="DefaultParagraphFont"/>
    <w:link w:val="TOCHeading"/>
    <w:uiPriority w:val="39"/>
    <w:locked/>
    <w:rsid w:val="00131338"/>
    <w:rPr>
      <w:rFonts w:ascii="Times New Roman" w:eastAsia="Times New Roman" w:hAnsi="Times New Roman" w:cs="Times New Roman"/>
      <w:b/>
      <w:sz w:val="28"/>
      <w:szCs w:val="24"/>
    </w:rPr>
  </w:style>
  <w:style w:type="paragraph" w:styleId="TOCHeading">
    <w:name w:val="TOC Heading"/>
    <w:basedOn w:val="Normal"/>
    <w:next w:val="Normal"/>
    <w:link w:val="TOCHeadingChar"/>
    <w:uiPriority w:val="39"/>
    <w:unhideWhenUsed/>
    <w:qFormat/>
    <w:rsid w:val="00131338"/>
    <w:pPr>
      <w:spacing w:before="120" w:after="240" w:line="240" w:lineRule="auto"/>
      <w:jc w:val="center"/>
    </w:pPr>
    <w:rPr>
      <w:rFonts w:ascii="Times New Roman" w:eastAsia="Times New Roman" w:hAnsi="Times New Roman" w:cs="Times New Roman"/>
      <w:b/>
      <w:sz w:val="28"/>
      <w:szCs w:val="24"/>
    </w:rPr>
  </w:style>
  <w:style w:type="character" w:customStyle="1" w:styleId="Bodytext2">
    <w:name w:val="Body text (2)_"/>
    <w:basedOn w:val="DefaultParagraphFont"/>
    <w:link w:val="Bodytext20"/>
    <w:locked/>
    <w:rsid w:val="00131338"/>
    <w:rPr>
      <w:shd w:val="clear" w:color="auto" w:fill="FFFFFF"/>
    </w:rPr>
  </w:style>
  <w:style w:type="paragraph" w:customStyle="1" w:styleId="Bodytext20">
    <w:name w:val="Body text (2)"/>
    <w:basedOn w:val="Normal"/>
    <w:link w:val="Bodytext2"/>
    <w:rsid w:val="00131338"/>
    <w:pPr>
      <w:widowControl w:val="0"/>
      <w:shd w:val="clear" w:color="auto" w:fill="FFFFFF"/>
      <w:spacing w:after="1440" w:line="264" w:lineRule="exact"/>
      <w:ind w:hanging="460"/>
    </w:pPr>
  </w:style>
  <w:style w:type="paragraph" w:customStyle="1" w:styleId="ManualHeading1">
    <w:name w:val="Manual Heading 1"/>
    <w:basedOn w:val="Normal"/>
    <w:next w:val="Normal"/>
    <w:rsid w:val="00131338"/>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Dash1">
    <w:name w:val="Dash 1"/>
    <w:basedOn w:val="Normal"/>
    <w:rsid w:val="00131338"/>
    <w:pPr>
      <w:numPr>
        <w:numId w:val="11"/>
      </w:numPr>
      <w:spacing w:before="120" w:after="120" w:line="360" w:lineRule="auto"/>
      <w:ind w:left="1080" w:hanging="720"/>
    </w:pPr>
    <w:rPr>
      <w:rFonts w:ascii="Times New Roman" w:eastAsia="Calibri" w:hAnsi="Times New Roman" w:cs="Times New Roman"/>
      <w:sz w:val="24"/>
      <w:szCs w:val="24"/>
    </w:rPr>
  </w:style>
  <w:style w:type="paragraph" w:customStyle="1" w:styleId="NumberedHeading1">
    <w:name w:val="Numbered Heading 1"/>
    <w:basedOn w:val="Normal"/>
    <w:next w:val="Normal"/>
    <w:rsid w:val="00131338"/>
    <w:pPr>
      <w:keepNext/>
      <w:numPr>
        <w:numId w:val="12"/>
      </w:numPr>
      <w:spacing w:before="240" w:after="240" w:line="240" w:lineRule="atLeast"/>
      <w:jc w:val="both"/>
      <w:outlineLvl w:val="2"/>
    </w:pPr>
    <w:rPr>
      <w:rFonts w:ascii="Century Gothic" w:hAnsi="Century Gothic" w:cs="Times New Roman"/>
      <w:b/>
      <w:caps/>
      <w:color w:val="333399"/>
      <w:sz w:val="18"/>
    </w:rPr>
  </w:style>
  <w:style w:type="paragraph" w:customStyle="1" w:styleId="NumberedHeading2">
    <w:name w:val="Numbered Heading 2"/>
    <w:basedOn w:val="Normal"/>
    <w:next w:val="Normal"/>
    <w:rsid w:val="00131338"/>
    <w:pPr>
      <w:keepNext/>
      <w:numPr>
        <w:ilvl w:val="1"/>
        <w:numId w:val="12"/>
      </w:numPr>
      <w:spacing w:before="80" w:line="240" w:lineRule="atLeast"/>
      <w:jc w:val="both"/>
      <w:outlineLvl w:val="3"/>
    </w:pPr>
    <w:rPr>
      <w:rFonts w:ascii="Century Gothic" w:hAnsi="Century Gothic" w:cs="Times New Roman"/>
      <w:color w:val="333399"/>
      <w:sz w:val="18"/>
    </w:rPr>
  </w:style>
  <w:style w:type="paragraph" w:customStyle="1" w:styleId="NumberedHeading3">
    <w:name w:val="Numbered Heading 3"/>
    <w:basedOn w:val="Normal"/>
    <w:next w:val="Normal"/>
    <w:rsid w:val="00131338"/>
    <w:pPr>
      <w:keepNext/>
      <w:numPr>
        <w:ilvl w:val="2"/>
        <w:numId w:val="12"/>
      </w:numPr>
      <w:spacing w:before="80" w:line="240" w:lineRule="atLeast"/>
      <w:jc w:val="both"/>
      <w:outlineLvl w:val="3"/>
    </w:pPr>
    <w:rPr>
      <w:rFonts w:ascii="Century Gothic" w:hAnsi="Century Gothic" w:cs="Times New Roman"/>
      <w:i/>
      <w:color w:val="333399"/>
      <w:sz w:val="18"/>
    </w:rPr>
  </w:style>
  <w:style w:type="character" w:customStyle="1" w:styleId="Bodytext21">
    <w:name w:val="Body text|2_"/>
    <w:basedOn w:val="DefaultParagraphFont"/>
    <w:link w:val="Bodytext22"/>
    <w:locked/>
    <w:rsid w:val="00131338"/>
    <w:rPr>
      <w:shd w:val="clear" w:color="auto" w:fill="FFFFFF"/>
    </w:rPr>
  </w:style>
  <w:style w:type="paragraph" w:customStyle="1" w:styleId="Bodytext22">
    <w:name w:val="Body text|2"/>
    <w:basedOn w:val="Normal"/>
    <w:link w:val="Bodytext21"/>
    <w:qFormat/>
    <w:rsid w:val="00131338"/>
    <w:pPr>
      <w:widowControl w:val="0"/>
      <w:shd w:val="clear" w:color="auto" w:fill="FFFFFF"/>
      <w:spacing w:after="1440" w:line="274" w:lineRule="exact"/>
      <w:ind w:hanging="440"/>
    </w:pPr>
  </w:style>
  <w:style w:type="character" w:customStyle="1" w:styleId="Bodytext4">
    <w:name w:val="Body text|4_"/>
    <w:basedOn w:val="DefaultParagraphFont"/>
    <w:link w:val="Bodytext40"/>
    <w:locked/>
    <w:rsid w:val="00131338"/>
    <w:rPr>
      <w:b/>
      <w:bCs/>
      <w:shd w:val="clear" w:color="auto" w:fill="FFFFFF"/>
    </w:rPr>
  </w:style>
  <w:style w:type="paragraph" w:customStyle="1" w:styleId="Bodytext40">
    <w:name w:val="Body text|4"/>
    <w:basedOn w:val="Normal"/>
    <w:link w:val="Bodytext4"/>
    <w:rsid w:val="00131338"/>
    <w:pPr>
      <w:widowControl w:val="0"/>
      <w:shd w:val="clear" w:color="auto" w:fill="FFFFFF"/>
      <w:spacing w:before="1440" w:after="0" w:line="629" w:lineRule="exact"/>
      <w:jc w:val="center"/>
    </w:pPr>
    <w:rPr>
      <w:b/>
      <w:bCs/>
    </w:rPr>
  </w:style>
  <w:style w:type="paragraph" w:customStyle="1" w:styleId="HeaderLandscape">
    <w:name w:val="HeaderLandscape"/>
    <w:basedOn w:val="Normal"/>
    <w:rsid w:val="00131338"/>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rsid w:val="00131338"/>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rsid w:val="00131338"/>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rsid w:val="00131338"/>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rsid w:val="00131338"/>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rsid w:val="00131338"/>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rsid w:val="00131338"/>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rsid w:val="00131338"/>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rsid w:val="00131338"/>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rsid w:val="00131338"/>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rsid w:val="00131338"/>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rsid w:val="00131338"/>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rsid w:val="00131338"/>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rsid w:val="00131338"/>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rsid w:val="00131338"/>
    <w:pPr>
      <w:numPr>
        <w:numId w:val="13"/>
      </w:numPr>
    </w:pPr>
  </w:style>
  <w:style w:type="paragraph" w:customStyle="1" w:styleId="Tiret1">
    <w:name w:val="Tiret 1"/>
    <w:basedOn w:val="Point1"/>
    <w:rsid w:val="00131338"/>
    <w:pPr>
      <w:numPr>
        <w:numId w:val="14"/>
      </w:numPr>
    </w:pPr>
  </w:style>
  <w:style w:type="paragraph" w:customStyle="1" w:styleId="Tiret2">
    <w:name w:val="Tiret 2"/>
    <w:basedOn w:val="Point2"/>
    <w:rsid w:val="00131338"/>
    <w:pPr>
      <w:numPr>
        <w:numId w:val="15"/>
      </w:numPr>
    </w:pPr>
  </w:style>
  <w:style w:type="paragraph" w:customStyle="1" w:styleId="Tiret3">
    <w:name w:val="Tiret 3"/>
    <w:basedOn w:val="Point3"/>
    <w:rsid w:val="00131338"/>
    <w:pPr>
      <w:numPr>
        <w:numId w:val="16"/>
      </w:numPr>
    </w:pPr>
  </w:style>
  <w:style w:type="paragraph" w:customStyle="1" w:styleId="Tiret4">
    <w:name w:val="Tiret 4"/>
    <w:basedOn w:val="Point4"/>
    <w:rsid w:val="00131338"/>
    <w:pPr>
      <w:numPr>
        <w:numId w:val="17"/>
      </w:numPr>
    </w:pPr>
  </w:style>
  <w:style w:type="paragraph" w:customStyle="1" w:styleId="PointDouble0">
    <w:name w:val="PointDouble 0"/>
    <w:basedOn w:val="Normal"/>
    <w:rsid w:val="00131338"/>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rsid w:val="00131338"/>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rsid w:val="00131338"/>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rsid w:val="00131338"/>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rsid w:val="00131338"/>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rsid w:val="00131338"/>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rsid w:val="00131338"/>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rsid w:val="00131338"/>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rsid w:val="00131338"/>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rsid w:val="00131338"/>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rsid w:val="00131338"/>
    <w:pPr>
      <w:numPr>
        <w:numId w:val="18"/>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rsid w:val="00131338"/>
    <w:pPr>
      <w:numPr>
        <w:ilvl w:val="1"/>
        <w:numId w:val="18"/>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rsid w:val="00131338"/>
    <w:pPr>
      <w:numPr>
        <w:ilvl w:val="2"/>
        <w:numId w:val="18"/>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rsid w:val="00131338"/>
    <w:pPr>
      <w:numPr>
        <w:ilvl w:val="3"/>
        <w:numId w:val="18"/>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rsid w:val="00131338"/>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rsid w:val="00131338"/>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rsid w:val="00131338"/>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rsid w:val="00131338"/>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rsid w:val="00131338"/>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2">
    <w:name w:val="Manual Heading 2"/>
    <w:basedOn w:val="Normal"/>
    <w:next w:val="Text1"/>
    <w:rsid w:val="00131338"/>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rsid w:val="00131338"/>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rsid w:val="00131338"/>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rsid w:val="00131338"/>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rsid w:val="00131338"/>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rsid w:val="00131338"/>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rsid w:val="00131338"/>
    <w:pPr>
      <w:spacing w:before="120" w:after="120" w:line="240" w:lineRule="auto"/>
      <w:jc w:val="center"/>
    </w:pPr>
    <w:rPr>
      <w:rFonts w:ascii="Times New Roman" w:eastAsia="Times New Roman" w:hAnsi="Times New Roman" w:cs="Times New Roman"/>
      <w:b/>
      <w:sz w:val="24"/>
      <w:szCs w:val="24"/>
    </w:rPr>
  </w:style>
  <w:style w:type="paragraph" w:customStyle="1" w:styleId="Point0number">
    <w:name w:val="Point 0 (number)"/>
    <w:basedOn w:val="Normal"/>
    <w:rsid w:val="00131338"/>
    <w:pPr>
      <w:numPr>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rsid w:val="00131338"/>
    <w:pPr>
      <w:numPr>
        <w:ilvl w:val="2"/>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rsid w:val="00131338"/>
    <w:pPr>
      <w:numPr>
        <w:ilvl w:val="4"/>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rsid w:val="00131338"/>
    <w:pPr>
      <w:numPr>
        <w:ilvl w:val="6"/>
        <w:numId w:val="19"/>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rsid w:val="00131338"/>
    <w:pPr>
      <w:numPr>
        <w:ilvl w:val="1"/>
        <w:numId w:val="19"/>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rsid w:val="00131338"/>
    <w:pPr>
      <w:numPr>
        <w:ilvl w:val="3"/>
        <w:numId w:val="19"/>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rsid w:val="00131338"/>
    <w:pPr>
      <w:numPr>
        <w:ilvl w:val="5"/>
        <w:numId w:val="19"/>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rsid w:val="00131338"/>
    <w:pPr>
      <w:numPr>
        <w:ilvl w:val="7"/>
        <w:numId w:val="19"/>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rsid w:val="00131338"/>
    <w:pPr>
      <w:numPr>
        <w:ilvl w:val="8"/>
        <w:numId w:val="19"/>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rsid w:val="00131338"/>
    <w:pPr>
      <w:numPr>
        <w:numId w:val="20"/>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rsid w:val="00131338"/>
    <w:pPr>
      <w:numPr>
        <w:numId w:val="21"/>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rsid w:val="00131338"/>
    <w:pPr>
      <w:numPr>
        <w:numId w:val="22"/>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rsid w:val="00131338"/>
    <w:pPr>
      <w:numPr>
        <w:numId w:val="23"/>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rsid w:val="00131338"/>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rsid w:val="00131338"/>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rsid w:val="00131338"/>
    <w:pPr>
      <w:spacing w:before="120" w:after="120" w:line="240" w:lineRule="auto"/>
      <w:jc w:val="center"/>
    </w:pPr>
    <w:rPr>
      <w:rFonts w:ascii="Times New Roman" w:eastAsia="Times New Roman" w:hAnsi="Times New Roman" w:cs="Times New Roman"/>
      <w:b/>
      <w:sz w:val="24"/>
      <w:szCs w:val="24"/>
      <w:u w:val="single"/>
    </w:rPr>
  </w:style>
  <w:style w:type="paragraph" w:customStyle="1" w:styleId="Fait">
    <w:name w:val="Fait à"/>
    <w:basedOn w:val="Normal"/>
    <w:next w:val="Institutionquisigne"/>
    <w:rsid w:val="00131338"/>
    <w:pPr>
      <w:keepNext/>
      <w:spacing w:before="120" w:after="0" w:line="240" w:lineRule="auto"/>
      <w:jc w:val="both"/>
    </w:pPr>
    <w:rPr>
      <w:rFonts w:ascii="Times New Roman" w:eastAsia="Times New Roman" w:hAnsi="Times New Roman" w:cs="Times New Roman"/>
      <w:sz w:val="24"/>
      <w:szCs w:val="24"/>
    </w:rPr>
  </w:style>
  <w:style w:type="paragraph" w:customStyle="1" w:styleId="Applicationdirecte">
    <w:name w:val="Application directe"/>
    <w:basedOn w:val="Normal"/>
    <w:next w:val="Fait"/>
    <w:rsid w:val="00131338"/>
    <w:pPr>
      <w:spacing w:before="480" w:after="12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rsid w:val="00131338"/>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rsid w:val="00131338"/>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rsid w:val="00131338"/>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rsid w:val="00131338"/>
    <w:pPr>
      <w:spacing w:before="360" w:after="120" w:line="240" w:lineRule="auto"/>
      <w:jc w:val="center"/>
    </w:pPr>
    <w:rPr>
      <w:rFonts w:ascii="Times New Roman" w:eastAsia="Times New Roman" w:hAnsi="Times New Roman" w:cs="Times New Roman"/>
      <w:sz w:val="24"/>
      <w:szCs w:val="24"/>
    </w:rPr>
  </w:style>
  <w:style w:type="paragraph" w:customStyle="1" w:styleId="TypedudocumentPagedecouverture">
    <w:name w:val="Type du document (Page de couverture)"/>
    <w:basedOn w:val="Normal"/>
    <w:rsid w:val="00131338"/>
    <w:pPr>
      <w:spacing w:line="256" w:lineRule="auto"/>
    </w:pPr>
  </w:style>
  <w:style w:type="paragraph" w:customStyle="1" w:styleId="Confidentialit">
    <w:name w:val="Confidentialité"/>
    <w:basedOn w:val="Normal"/>
    <w:next w:val="TypedudocumentPagedecouverture"/>
    <w:rsid w:val="00131338"/>
    <w:pPr>
      <w:spacing w:before="240" w:after="240" w:line="240" w:lineRule="auto"/>
      <w:ind w:left="5103"/>
      <w:jc w:val="both"/>
    </w:pPr>
    <w:rPr>
      <w:rFonts w:ascii="Times New Roman" w:eastAsia="Times New Roman" w:hAnsi="Times New Roman" w:cs="Times New Roman"/>
      <w:i/>
      <w:sz w:val="32"/>
      <w:szCs w:val="24"/>
    </w:rPr>
  </w:style>
  <w:style w:type="paragraph" w:customStyle="1" w:styleId="Titreobjet">
    <w:name w:val="Titre objet"/>
    <w:basedOn w:val="Normal"/>
    <w:next w:val="Sous-titreobjet"/>
    <w:rsid w:val="00131338"/>
    <w:pPr>
      <w:spacing w:before="360" w:after="360" w:line="240" w:lineRule="auto"/>
      <w:jc w:val="center"/>
    </w:pPr>
    <w:rPr>
      <w:rFonts w:ascii="Times New Roman" w:eastAsia="Times New Roman" w:hAnsi="Times New Roman" w:cs="Times New Roman"/>
      <w:b/>
      <w:sz w:val="24"/>
      <w:szCs w:val="24"/>
    </w:rPr>
  </w:style>
  <w:style w:type="paragraph" w:customStyle="1" w:styleId="Typedudocument">
    <w:name w:val="Type du document"/>
    <w:basedOn w:val="Normal"/>
    <w:next w:val="Titreobjet"/>
    <w:rsid w:val="00131338"/>
    <w:pPr>
      <w:spacing w:before="360" w:after="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rsid w:val="00131338"/>
    <w:pPr>
      <w:spacing w:after="0" w:line="240" w:lineRule="auto"/>
      <w:jc w:val="center"/>
    </w:pPr>
    <w:rPr>
      <w:rFonts w:ascii="Times New Roman" w:eastAsia="Times New Roman" w:hAnsi="Times New Roman" w:cs="Times New Roman"/>
      <w:b/>
      <w:sz w:val="24"/>
      <w:szCs w:val="24"/>
    </w:rPr>
  </w:style>
  <w:style w:type="paragraph" w:customStyle="1" w:styleId="Sous-titreobjetPagedecouverture">
    <w:name w:val="Sous-titre objet (Page de couverture)"/>
    <w:basedOn w:val="Sous-titreobjet"/>
    <w:rsid w:val="00131338"/>
  </w:style>
  <w:style w:type="paragraph" w:customStyle="1" w:styleId="TitreobjetPagedecouverture">
    <w:name w:val="Titre objet (Page de couverture)"/>
    <w:basedOn w:val="Titreobjet"/>
    <w:next w:val="Sous-titreobjetPagedecouverture"/>
    <w:rsid w:val="00131338"/>
  </w:style>
  <w:style w:type="paragraph" w:customStyle="1" w:styleId="Considrant">
    <w:name w:val="Considérant"/>
    <w:basedOn w:val="Normal"/>
    <w:rsid w:val="00131338"/>
    <w:pPr>
      <w:numPr>
        <w:numId w:val="24"/>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rsid w:val="00131338"/>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rsid w:val="00131338"/>
    <w:pPr>
      <w:spacing w:before="360" w:after="0" w:line="240" w:lineRule="auto"/>
      <w:jc w:val="center"/>
    </w:pPr>
    <w:rPr>
      <w:rFonts w:ascii="Times New Roman" w:eastAsia="Times New Roman" w:hAnsi="Times New Roman" w:cs="Times New Roman"/>
      <w:b/>
      <w:sz w:val="24"/>
      <w:szCs w:val="24"/>
    </w:rPr>
  </w:style>
  <w:style w:type="paragraph" w:customStyle="1" w:styleId="Rfrenceinstitutionnelle">
    <w:name w:val="Référence institutionnelle"/>
    <w:basedOn w:val="Normal"/>
    <w:next w:val="Confidentialit"/>
    <w:rsid w:val="00131338"/>
    <w:pPr>
      <w:spacing w:after="240" w:line="240" w:lineRule="auto"/>
      <w:ind w:left="5103"/>
    </w:pPr>
    <w:rPr>
      <w:rFonts w:ascii="Times New Roman" w:eastAsia="Times New Roman" w:hAnsi="Times New Roman" w:cs="Times New Roman"/>
      <w:sz w:val="24"/>
      <w:szCs w:val="24"/>
    </w:rPr>
  </w:style>
  <w:style w:type="paragraph" w:customStyle="1" w:styleId="Emission">
    <w:name w:val="Emission"/>
    <w:basedOn w:val="Normal"/>
    <w:next w:val="Rfrenceinstitutionnelle"/>
    <w:rsid w:val="00131338"/>
    <w:pPr>
      <w:spacing w:after="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rsid w:val="00131338"/>
    <w:pPr>
      <w:spacing w:before="120" w:after="120" w:line="240" w:lineRule="auto"/>
      <w:jc w:val="center"/>
    </w:pPr>
    <w:rPr>
      <w:rFonts w:ascii="Times New Roman" w:eastAsia="Times New Roman" w:hAnsi="Times New Roman" w:cs="Times New Roman"/>
      <w:b/>
      <w:sz w:val="24"/>
      <w:szCs w:val="24"/>
      <w:u w:val="single"/>
    </w:rPr>
  </w:style>
  <w:style w:type="paragraph" w:customStyle="1" w:styleId="Titrearticle">
    <w:name w:val="Titre article"/>
    <w:basedOn w:val="Normal"/>
    <w:next w:val="Normal"/>
    <w:rsid w:val="00131338"/>
    <w:pPr>
      <w:keepNext/>
      <w:spacing w:before="360" w:after="120" w:line="240" w:lineRule="auto"/>
      <w:jc w:val="center"/>
    </w:pPr>
    <w:rPr>
      <w:rFonts w:ascii="Times New Roman" w:eastAsia="Times New Roman" w:hAnsi="Times New Roman" w:cs="Times New Roman"/>
      <w:i/>
      <w:sz w:val="24"/>
      <w:szCs w:val="24"/>
    </w:rPr>
  </w:style>
  <w:style w:type="paragraph" w:customStyle="1" w:styleId="Formuledadoption">
    <w:name w:val="Formule d'adoption"/>
    <w:basedOn w:val="Normal"/>
    <w:next w:val="Titrearticle"/>
    <w:rsid w:val="00131338"/>
    <w:pPr>
      <w:keepNext/>
      <w:spacing w:before="120" w:after="120" w:line="240" w:lineRule="auto"/>
      <w:jc w:val="both"/>
    </w:pPr>
    <w:rPr>
      <w:rFonts w:ascii="Times New Roman" w:eastAsia="Times New Roman" w:hAnsi="Times New Roman" w:cs="Times New Roman"/>
      <w:sz w:val="24"/>
      <w:szCs w:val="24"/>
    </w:rPr>
  </w:style>
  <w:style w:type="paragraph" w:customStyle="1" w:styleId="Institutionquiagit">
    <w:name w:val="Institution qui agit"/>
    <w:basedOn w:val="Normal"/>
    <w:next w:val="Normal"/>
    <w:rsid w:val="00131338"/>
    <w:pPr>
      <w:keepNext/>
      <w:spacing w:before="600" w:after="120" w:line="240" w:lineRule="auto"/>
      <w:jc w:val="both"/>
    </w:pPr>
    <w:rPr>
      <w:rFonts w:ascii="Times New Roman" w:eastAsia="Times New Roman" w:hAnsi="Times New Roman" w:cs="Times New Roman"/>
      <w:sz w:val="24"/>
      <w:szCs w:val="24"/>
    </w:rPr>
  </w:style>
  <w:style w:type="paragraph" w:customStyle="1" w:styleId="Rfrenceinterne">
    <w:name w:val="Référence interne"/>
    <w:basedOn w:val="Normal"/>
    <w:next w:val="Rfrenceinterinstitutionnelle"/>
    <w:rsid w:val="00131338"/>
    <w:pPr>
      <w:spacing w:after="0" w:line="240" w:lineRule="auto"/>
      <w:ind w:left="5103"/>
    </w:pPr>
    <w:rPr>
      <w:rFonts w:ascii="Times New Roman" w:eastAsia="Times New Roman" w:hAnsi="Times New Roman" w:cs="Times New Roman"/>
      <w:sz w:val="24"/>
      <w:szCs w:val="24"/>
    </w:rPr>
  </w:style>
  <w:style w:type="paragraph" w:customStyle="1" w:styleId="Langue">
    <w:name w:val="Langue"/>
    <w:basedOn w:val="Normal"/>
    <w:next w:val="Rfrenceinterne"/>
    <w:rsid w:val="00131338"/>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institutionnelle">
    <w:name w:val="Référence interinstitutionnelle"/>
    <w:basedOn w:val="Normal"/>
    <w:next w:val="Statut"/>
    <w:rsid w:val="00131338"/>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rsid w:val="00131338"/>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rsid w:val="00131338"/>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rsid w:val="00131338"/>
    <w:pPr>
      <w:spacing w:after="0" w:line="240" w:lineRule="auto"/>
    </w:pPr>
    <w:rPr>
      <w:rFonts w:ascii="Arial" w:eastAsia="Times New Roman" w:hAnsi="Arial" w:cs="Arial"/>
      <w:sz w:val="24"/>
      <w:szCs w:val="24"/>
    </w:rPr>
  </w:style>
  <w:style w:type="paragraph" w:customStyle="1" w:styleId="Address">
    <w:name w:val="Address"/>
    <w:basedOn w:val="Normal"/>
    <w:next w:val="Normal"/>
    <w:rsid w:val="00131338"/>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rsid w:val="00131338"/>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rsid w:val="00131338"/>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rsid w:val="00131338"/>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rsid w:val="00131338"/>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rsid w:val="00131338"/>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rsid w:val="00131338"/>
  </w:style>
  <w:style w:type="paragraph" w:customStyle="1" w:styleId="RfrenceinterinstitutionnellePagedecouverture">
    <w:name w:val="Référence interinstitutionnelle (Page de couverture)"/>
    <w:basedOn w:val="Rfrenceinterinstitutionnelle"/>
    <w:next w:val="Confidentialit"/>
    <w:rsid w:val="00131338"/>
  </w:style>
  <w:style w:type="paragraph" w:customStyle="1" w:styleId="StatutPagedecouverture">
    <w:name w:val="Statut (Page de couverture)"/>
    <w:basedOn w:val="Statut"/>
    <w:next w:val="TypedudocumentPagedecouverture"/>
    <w:rsid w:val="00131338"/>
  </w:style>
  <w:style w:type="paragraph" w:customStyle="1" w:styleId="Volume">
    <w:name w:val="Volume"/>
    <w:basedOn w:val="Normal"/>
    <w:next w:val="Confidentialit"/>
    <w:rsid w:val="00131338"/>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rsid w:val="00131338"/>
    <w:pPr>
      <w:spacing w:after="240"/>
    </w:pPr>
  </w:style>
  <w:style w:type="paragraph" w:customStyle="1" w:styleId="Typeacteprincipal">
    <w:name w:val="Type acte principal"/>
    <w:basedOn w:val="Normal"/>
    <w:next w:val="Objetacteprincipal"/>
    <w:rsid w:val="00131338"/>
    <w:pPr>
      <w:spacing w:after="240" w:line="240" w:lineRule="auto"/>
      <w:jc w:val="center"/>
    </w:pPr>
    <w:rPr>
      <w:rFonts w:ascii="Times New Roman" w:eastAsia="Times New Roman" w:hAnsi="Times New Roman" w:cs="Times New Roman"/>
      <w:b/>
      <w:sz w:val="24"/>
      <w:szCs w:val="24"/>
    </w:rPr>
  </w:style>
  <w:style w:type="paragraph" w:customStyle="1" w:styleId="Accompagnant">
    <w:name w:val="Accompagnant"/>
    <w:basedOn w:val="Normal"/>
    <w:next w:val="Typeacteprincipal"/>
    <w:rsid w:val="00131338"/>
    <w:pPr>
      <w:spacing w:after="240" w:line="240" w:lineRule="auto"/>
      <w:jc w:val="center"/>
    </w:pPr>
    <w:rPr>
      <w:rFonts w:ascii="Times New Roman" w:eastAsia="Times New Roman" w:hAnsi="Times New Roman" w:cs="Times New Roman"/>
      <w:b/>
      <w:i/>
      <w:sz w:val="24"/>
      <w:szCs w:val="24"/>
    </w:rPr>
  </w:style>
  <w:style w:type="paragraph" w:customStyle="1" w:styleId="Objetacteprincipal">
    <w:name w:val="Objet acte principal"/>
    <w:basedOn w:val="Normal"/>
    <w:next w:val="Titrearticle"/>
    <w:rsid w:val="00131338"/>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rsid w:val="00131338"/>
  </w:style>
  <w:style w:type="paragraph" w:customStyle="1" w:styleId="TypeacteprincipalPagedecouverture">
    <w:name w:val="Type acte principal (Page de couverture)"/>
    <w:basedOn w:val="Typeacteprincipal"/>
    <w:next w:val="ObjetacteprincipalPagedecouverture"/>
    <w:rsid w:val="00131338"/>
  </w:style>
  <w:style w:type="paragraph" w:customStyle="1" w:styleId="AccompagnantPagedecouverture">
    <w:name w:val="Accompagnant (Page de couverture)"/>
    <w:basedOn w:val="Accompagnant"/>
    <w:next w:val="TypeacteprincipalPagedecouverture"/>
    <w:rsid w:val="00131338"/>
  </w:style>
  <w:style w:type="paragraph" w:customStyle="1" w:styleId="ObjetacteprincipalPagedecouverture">
    <w:name w:val="Objet acte principal (Page de couverture)"/>
    <w:basedOn w:val="Objetacteprincipal"/>
    <w:next w:val="Rfrencecroise"/>
    <w:rsid w:val="00131338"/>
  </w:style>
  <w:style w:type="paragraph" w:customStyle="1" w:styleId="LanguesfaisantfoiPagedecouverture">
    <w:name w:val="Langues faisant foi (Page de couverture)"/>
    <w:basedOn w:val="Normal"/>
    <w:next w:val="Normal"/>
    <w:rsid w:val="00131338"/>
    <w:pPr>
      <w:spacing w:before="360" w:after="0" w:line="240" w:lineRule="auto"/>
      <w:jc w:val="center"/>
    </w:pPr>
    <w:rPr>
      <w:rFonts w:ascii="Times New Roman" w:eastAsia="Times New Roman" w:hAnsi="Times New Roman" w:cs="Times New Roman"/>
      <w:sz w:val="24"/>
      <w:szCs w:val="24"/>
    </w:rPr>
  </w:style>
  <w:style w:type="paragraph" w:customStyle="1" w:styleId="ListBullet1">
    <w:name w:val="List Bullet 1"/>
    <w:basedOn w:val="Normal"/>
    <w:rsid w:val="00131338"/>
    <w:pPr>
      <w:numPr>
        <w:numId w:val="25"/>
      </w:numPr>
      <w:spacing w:before="120" w:after="120" w:line="240" w:lineRule="auto"/>
      <w:jc w:val="both"/>
    </w:pPr>
    <w:rPr>
      <w:rFonts w:ascii="Times New Roman" w:eastAsia="Times New Roman" w:hAnsi="Times New Roman" w:cs="Times New Roman"/>
      <w:sz w:val="24"/>
      <w:szCs w:val="24"/>
    </w:rPr>
  </w:style>
  <w:style w:type="paragraph" w:customStyle="1" w:styleId="ListDash">
    <w:name w:val="List Dash"/>
    <w:basedOn w:val="Normal"/>
    <w:rsid w:val="00131338"/>
    <w:pPr>
      <w:numPr>
        <w:numId w:val="26"/>
      </w:numPr>
      <w:spacing w:before="120" w:after="120" w:line="240" w:lineRule="auto"/>
      <w:jc w:val="both"/>
    </w:pPr>
    <w:rPr>
      <w:rFonts w:ascii="Times New Roman" w:eastAsia="Times New Roman" w:hAnsi="Times New Roman" w:cs="Times New Roman"/>
      <w:sz w:val="24"/>
      <w:szCs w:val="24"/>
    </w:rPr>
  </w:style>
  <w:style w:type="paragraph" w:customStyle="1" w:styleId="ListDash1">
    <w:name w:val="List Dash 1"/>
    <w:basedOn w:val="Normal"/>
    <w:rsid w:val="00131338"/>
    <w:pPr>
      <w:numPr>
        <w:numId w:val="27"/>
      </w:numPr>
      <w:spacing w:before="120" w:after="120" w:line="240" w:lineRule="auto"/>
      <w:jc w:val="both"/>
    </w:pPr>
    <w:rPr>
      <w:rFonts w:ascii="Times New Roman" w:eastAsia="Times New Roman" w:hAnsi="Times New Roman" w:cs="Times New Roman"/>
      <w:sz w:val="24"/>
      <w:szCs w:val="24"/>
    </w:rPr>
  </w:style>
  <w:style w:type="paragraph" w:customStyle="1" w:styleId="ListDash2">
    <w:name w:val="List Dash 2"/>
    <w:basedOn w:val="Normal"/>
    <w:rsid w:val="00131338"/>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ListDash3">
    <w:name w:val="List Dash 3"/>
    <w:basedOn w:val="Normal"/>
    <w:rsid w:val="00131338"/>
    <w:pPr>
      <w:numPr>
        <w:numId w:val="29"/>
      </w:numPr>
      <w:spacing w:before="120" w:after="120" w:line="240" w:lineRule="auto"/>
      <w:jc w:val="both"/>
    </w:pPr>
    <w:rPr>
      <w:rFonts w:ascii="Times New Roman" w:eastAsia="Times New Roman" w:hAnsi="Times New Roman" w:cs="Times New Roman"/>
      <w:sz w:val="24"/>
      <w:szCs w:val="24"/>
    </w:rPr>
  </w:style>
  <w:style w:type="paragraph" w:customStyle="1" w:styleId="ListDash4">
    <w:name w:val="List Dash 4"/>
    <w:basedOn w:val="Normal"/>
    <w:rsid w:val="00131338"/>
    <w:pPr>
      <w:numPr>
        <w:numId w:val="30"/>
      </w:numPr>
      <w:spacing w:before="120" w:after="120" w:line="240" w:lineRule="auto"/>
      <w:jc w:val="both"/>
    </w:pPr>
    <w:rPr>
      <w:rFonts w:ascii="Times New Roman" w:eastAsia="Times New Roman" w:hAnsi="Times New Roman" w:cs="Times New Roman"/>
      <w:sz w:val="24"/>
      <w:szCs w:val="24"/>
    </w:rPr>
  </w:style>
  <w:style w:type="paragraph" w:customStyle="1" w:styleId="ListNumber1">
    <w:name w:val="List Number 1"/>
    <w:basedOn w:val="Text1"/>
    <w:rsid w:val="00131338"/>
    <w:pPr>
      <w:numPr>
        <w:numId w:val="31"/>
      </w:numPr>
    </w:pPr>
  </w:style>
  <w:style w:type="paragraph" w:customStyle="1" w:styleId="ListNumberLevel2">
    <w:name w:val="List Number (Level 2)"/>
    <w:basedOn w:val="Normal"/>
    <w:rsid w:val="00131338"/>
    <w:pPr>
      <w:numPr>
        <w:ilvl w:val="1"/>
        <w:numId w:val="3"/>
      </w:numPr>
      <w:spacing w:before="120" w:after="120" w:line="240" w:lineRule="auto"/>
      <w:jc w:val="both"/>
    </w:pPr>
    <w:rPr>
      <w:rFonts w:ascii="Times New Roman" w:eastAsia="Times New Roman" w:hAnsi="Times New Roman" w:cs="Times New Roman"/>
      <w:sz w:val="24"/>
      <w:szCs w:val="24"/>
    </w:rPr>
  </w:style>
  <w:style w:type="paragraph" w:customStyle="1" w:styleId="ListNumber1Level2">
    <w:name w:val="List Number 1 (Level 2)"/>
    <w:basedOn w:val="Text1"/>
    <w:rsid w:val="00131338"/>
    <w:pPr>
      <w:numPr>
        <w:ilvl w:val="1"/>
        <w:numId w:val="31"/>
      </w:numPr>
    </w:pPr>
  </w:style>
  <w:style w:type="paragraph" w:customStyle="1" w:styleId="ListNumber2Level2">
    <w:name w:val="List Number 2 (Level 2)"/>
    <w:basedOn w:val="Text2"/>
    <w:rsid w:val="00131338"/>
    <w:pPr>
      <w:numPr>
        <w:ilvl w:val="1"/>
        <w:numId w:val="5"/>
      </w:numPr>
    </w:pPr>
  </w:style>
  <w:style w:type="paragraph" w:customStyle="1" w:styleId="ListNumber3Level2">
    <w:name w:val="List Number 3 (Level 2)"/>
    <w:basedOn w:val="Text3"/>
    <w:rsid w:val="00131338"/>
    <w:pPr>
      <w:numPr>
        <w:ilvl w:val="1"/>
        <w:numId w:val="6"/>
      </w:numPr>
    </w:pPr>
  </w:style>
  <w:style w:type="paragraph" w:customStyle="1" w:styleId="ListNumber4Level2">
    <w:name w:val="List Number 4 (Level 2)"/>
    <w:basedOn w:val="Text4"/>
    <w:rsid w:val="00131338"/>
    <w:pPr>
      <w:numPr>
        <w:ilvl w:val="1"/>
        <w:numId w:val="7"/>
      </w:numPr>
    </w:pPr>
  </w:style>
  <w:style w:type="paragraph" w:customStyle="1" w:styleId="ListNumberLevel3">
    <w:name w:val="List Number (Level 3)"/>
    <w:basedOn w:val="Normal"/>
    <w:rsid w:val="00131338"/>
    <w:pPr>
      <w:numPr>
        <w:ilvl w:val="2"/>
        <w:numId w:val="3"/>
      </w:numPr>
      <w:spacing w:before="120" w:after="120" w:line="240" w:lineRule="auto"/>
      <w:jc w:val="both"/>
    </w:pPr>
    <w:rPr>
      <w:rFonts w:ascii="Times New Roman" w:eastAsia="Times New Roman" w:hAnsi="Times New Roman" w:cs="Times New Roman"/>
      <w:sz w:val="24"/>
      <w:szCs w:val="24"/>
    </w:rPr>
  </w:style>
  <w:style w:type="paragraph" w:customStyle="1" w:styleId="ListNumber1Level3">
    <w:name w:val="List Number 1 (Level 3)"/>
    <w:basedOn w:val="Text1"/>
    <w:rsid w:val="00131338"/>
    <w:pPr>
      <w:numPr>
        <w:ilvl w:val="2"/>
        <w:numId w:val="31"/>
      </w:numPr>
    </w:pPr>
  </w:style>
  <w:style w:type="paragraph" w:customStyle="1" w:styleId="ListNumber2Level3">
    <w:name w:val="List Number 2 (Level 3)"/>
    <w:basedOn w:val="Text2"/>
    <w:rsid w:val="00131338"/>
    <w:pPr>
      <w:numPr>
        <w:ilvl w:val="2"/>
        <w:numId w:val="5"/>
      </w:numPr>
    </w:pPr>
  </w:style>
  <w:style w:type="paragraph" w:customStyle="1" w:styleId="ListNumber3Level3">
    <w:name w:val="List Number 3 (Level 3)"/>
    <w:basedOn w:val="Text3"/>
    <w:rsid w:val="00131338"/>
    <w:pPr>
      <w:numPr>
        <w:ilvl w:val="2"/>
        <w:numId w:val="6"/>
      </w:numPr>
    </w:pPr>
  </w:style>
  <w:style w:type="paragraph" w:customStyle="1" w:styleId="ListNumber4Level3">
    <w:name w:val="List Number 4 (Level 3)"/>
    <w:basedOn w:val="Text4"/>
    <w:rsid w:val="00131338"/>
    <w:pPr>
      <w:numPr>
        <w:ilvl w:val="2"/>
        <w:numId w:val="7"/>
      </w:numPr>
    </w:pPr>
  </w:style>
  <w:style w:type="paragraph" w:customStyle="1" w:styleId="ListNumberLevel4">
    <w:name w:val="List Number (Level 4)"/>
    <w:basedOn w:val="Normal"/>
    <w:rsid w:val="00131338"/>
    <w:pPr>
      <w:numPr>
        <w:ilvl w:val="3"/>
        <w:numId w:val="3"/>
      </w:numPr>
      <w:spacing w:before="120" w:after="120" w:line="240" w:lineRule="auto"/>
      <w:jc w:val="both"/>
    </w:pPr>
    <w:rPr>
      <w:rFonts w:ascii="Times New Roman" w:eastAsia="Times New Roman" w:hAnsi="Times New Roman" w:cs="Times New Roman"/>
      <w:sz w:val="24"/>
      <w:szCs w:val="24"/>
    </w:rPr>
  </w:style>
  <w:style w:type="paragraph" w:customStyle="1" w:styleId="ListNumber1Level4">
    <w:name w:val="List Number 1 (Level 4)"/>
    <w:basedOn w:val="Text1"/>
    <w:rsid w:val="00131338"/>
    <w:pPr>
      <w:numPr>
        <w:ilvl w:val="3"/>
        <w:numId w:val="31"/>
      </w:numPr>
    </w:pPr>
  </w:style>
  <w:style w:type="paragraph" w:customStyle="1" w:styleId="ListNumber2Level4">
    <w:name w:val="List Number 2 (Level 4)"/>
    <w:basedOn w:val="Text2"/>
    <w:rsid w:val="00131338"/>
    <w:pPr>
      <w:numPr>
        <w:ilvl w:val="3"/>
        <w:numId w:val="5"/>
      </w:numPr>
    </w:pPr>
  </w:style>
  <w:style w:type="paragraph" w:customStyle="1" w:styleId="ListNumber3Level4">
    <w:name w:val="List Number 3 (Level 4)"/>
    <w:basedOn w:val="Text3"/>
    <w:rsid w:val="00131338"/>
    <w:pPr>
      <w:numPr>
        <w:ilvl w:val="3"/>
        <w:numId w:val="6"/>
      </w:numPr>
    </w:pPr>
  </w:style>
  <w:style w:type="paragraph" w:customStyle="1" w:styleId="ListNumber4Level4">
    <w:name w:val="List Number 4 (Level 4)"/>
    <w:basedOn w:val="Text4"/>
    <w:rsid w:val="00131338"/>
    <w:pPr>
      <w:numPr>
        <w:ilvl w:val="3"/>
        <w:numId w:val="7"/>
      </w:numPr>
    </w:pPr>
  </w:style>
  <w:style w:type="paragraph" w:customStyle="1" w:styleId="font5">
    <w:name w:val="font5"/>
    <w:basedOn w:val="Normal"/>
    <w:rsid w:val="00131338"/>
    <w:pPr>
      <w:spacing w:before="100" w:beforeAutospacing="1" w:after="100" w:afterAutospacing="1" w:line="240" w:lineRule="auto"/>
    </w:pPr>
    <w:rPr>
      <w:rFonts w:ascii="Arial" w:eastAsia="Times New Roman" w:hAnsi="Arial" w:cs="Arial"/>
      <w:sz w:val="20"/>
      <w:szCs w:val="20"/>
    </w:rPr>
  </w:style>
  <w:style w:type="paragraph" w:customStyle="1" w:styleId="font6">
    <w:name w:val="font6"/>
    <w:basedOn w:val="Normal"/>
    <w:rsid w:val="00131338"/>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7">
    <w:name w:val="xl67"/>
    <w:basedOn w:val="Normal"/>
    <w:rsid w:val="00131338"/>
    <w:pPr>
      <w:pBdr>
        <w:top w:val="single" w:sz="8" w:space="0" w:color="auto"/>
        <w:bottom w:val="single" w:sz="8" w:space="0" w:color="auto"/>
      </w:pBdr>
      <w:spacing w:before="100" w:beforeAutospacing="1" w:after="100" w:afterAutospacing="1" w:line="240" w:lineRule="auto"/>
    </w:pPr>
    <w:rPr>
      <w:rFonts w:ascii="Arial" w:eastAsia="Times New Roman" w:hAnsi="Arial" w:cs="Arial"/>
      <w:b/>
      <w:bCs/>
    </w:rPr>
  </w:style>
  <w:style w:type="paragraph" w:customStyle="1" w:styleId="xl68">
    <w:name w:val="xl68"/>
    <w:basedOn w:val="Normal"/>
    <w:rsid w:val="001313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9">
    <w:name w:val="xl69"/>
    <w:basedOn w:val="Normal"/>
    <w:rsid w:val="00131338"/>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0">
    <w:name w:val="xl70"/>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1">
    <w:name w:val="xl71"/>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2">
    <w:name w:val="xl72"/>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3">
    <w:name w:val="xl73"/>
    <w:basedOn w:val="Normal"/>
    <w:rsid w:val="00131338"/>
    <w:pPr>
      <w:spacing w:before="100" w:beforeAutospacing="1" w:after="100" w:afterAutospacing="1" w:line="240" w:lineRule="auto"/>
    </w:pPr>
    <w:rPr>
      <w:rFonts w:ascii="Arial" w:eastAsia="Times New Roman" w:hAnsi="Arial" w:cs="Arial"/>
      <w:sz w:val="24"/>
      <w:szCs w:val="24"/>
    </w:rPr>
  </w:style>
  <w:style w:type="paragraph" w:customStyle="1" w:styleId="xl74">
    <w:name w:val="xl74"/>
    <w:basedOn w:val="Normal"/>
    <w:rsid w:val="0013133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5">
    <w:name w:val="xl75"/>
    <w:basedOn w:val="Normal"/>
    <w:rsid w:val="00131338"/>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6">
    <w:name w:val="xl76"/>
    <w:basedOn w:val="Normal"/>
    <w:rsid w:val="00131338"/>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7">
    <w:name w:val="xl77"/>
    <w:basedOn w:val="Normal"/>
    <w:rsid w:val="00131338"/>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78">
    <w:name w:val="xl78"/>
    <w:basedOn w:val="Normal"/>
    <w:rsid w:val="0013133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79">
    <w:name w:val="xl79"/>
    <w:basedOn w:val="Normal"/>
    <w:rsid w:val="0013133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0">
    <w:name w:val="xl80"/>
    <w:basedOn w:val="Normal"/>
    <w:rsid w:val="0013133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1">
    <w:name w:val="xl81"/>
    <w:basedOn w:val="Normal"/>
    <w:rsid w:val="00131338"/>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2">
    <w:name w:val="xl82"/>
    <w:basedOn w:val="Normal"/>
    <w:rsid w:val="0013133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3">
    <w:name w:val="xl83"/>
    <w:basedOn w:val="Normal"/>
    <w:rsid w:val="0013133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4">
    <w:name w:val="xl84"/>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5">
    <w:name w:val="xl85"/>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6">
    <w:name w:val="xl86"/>
    <w:basedOn w:val="Normal"/>
    <w:rsid w:val="00131338"/>
    <w:pPr>
      <w:pBdr>
        <w:top w:val="single" w:sz="4" w:space="0" w:color="auto"/>
        <w:left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7">
    <w:name w:val="xl87"/>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88">
    <w:name w:val="xl88"/>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89">
    <w:name w:val="xl89"/>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0">
    <w:name w:val="xl90"/>
    <w:basedOn w:val="Normal"/>
    <w:rsid w:val="00131338"/>
    <w:pPr>
      <w:pBdr>
        <w:top w:val="single" w:sz="8" w:space="0" w:color="auto"/>
        <w:bottom w:val="single" w:sz="8"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1">
    <w:name w:val="xl91"/>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2">
    <w:name w:val="xl92"/>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3">
    <w:name w:val="xl93"/>
    <w:basedOn w:val="Normal"/>
    <w:rsid w:val="0013133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4">
    <w:name w:val="xl94"/>
    <w:basedOn w:val="Normal"/>
    <w:rsid w:val="0013133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5">
    <w:name w:val="xl95"/>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6">
    <w:name w:val="xl96"/>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7">
    <w:name w:val="xl97"/>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8">
    <w:name w:val="xl98"/>
    <w:basedOn w:val="Normal"/>
    <w:rsid w:val="00131338"/>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24"/>
      <w:szCs w:val="24"/>
    </w:rPr>
  </w:style>
  <w:style w:type="paragraph" w:customStyle="1" w:styleId="xl99">
    <w:name w:val="xl99"/>
    <w:basedOn w:val="Normal"/>
    <w:rsid w:val="00131338"/>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0">
    <w:name w:val="xl100"/>
    <w:basedOn w:val="Normal"/>
    <w:rsid w:val="00131338"/>
    <w:pPr>
      <w:spacing w:before="100" w:beforeAutospacing="1" w:after="100" w:afterAutospacing="1" w:line="240" w:lineRule="auto"/>
      <w:jc w:val="center"/>
    </w:pPr>
    <w:rPr>
      <w:rFonts w:ascii="Arial" w:eastAsia="Times New Roman" w:hAnsi="Arial" w:cs="Arial"/>
      <w:b/>
      <w:bCs/>
      <w:sz w:val="24"/>
      <w:szCs w:val="24"/>
    </w:rPr>
  </w:style>
  <w:style w:type="paragraph" w:customStyle="1" w:styleId="xl101">
    <w:name w:val="xl101"/>
    <w:basedOn w:val="Normal"/>
    <w:rsid w:val="0013133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2">
    <w:name w:val="xl102"/>
    <w:basedOn w:val="Normal"/>
    <w:rsid w:val="0013133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3">
    <w:name w:val="xl103"/>
    <w:basedOn w:val="Normal"/>
    <w:rsid w:val="0013133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04">
    <w:name w:val="xl104"/>
    <w:basedOn w:val="Normal"/>
    <w:rsid w:val="0013133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4">
    <w:name w:val="xl64"/>
    <w:basedOn w:val="Normal"/>
    <w:rsid w:val="001313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65">
    <w:name w:val="xl65"/>
    <w:basedOn w:val="Normal"/>
    <w:rsid w:val="00131338"/>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Text1Char">
    <w:name w:val="Text 1 Char"/>
    <w:basedOn w:val="Normal"/>
    <w:rsid w:val="00131338"/>
    <w:pPr>
      <w:spacing w:before="120" w:after="120" w:line="240" w:lineRule="auto"/>
      <w:ind w:left="482"/>
      <w:jc w:val="both"/>
    </w:pPr>
    <w:rPr>
      <w:rFonts w:ascii="Times New Roman" w:eastAsia="Times New Roman" w:hAnsi="Times New Roman" w:cs="Times New Roman"/>
      <w:sz w:val="24"/>
      <w:szCs w:val="20"/>
    </w:rPr>
  </w:style>
  <w:style w:type="character" w:customStyle="1" w:styleId="Bodytext2Bold">
    <w:name w:val="Body text|2 + Bold"/>
    <w:basedOn w:val="Bodytext21"/>
    <w:semiHidden/>
    <w:rsid w:val="00131338"/>
    <w:rPr>
      <w:rFonts w:ascii="Times New Roman" w:eastAsia="Times New Roman" w:hAnsi="Times New Roman" w:cs="Times New Roman" w:hint="default"/>
      <w:b/>
      <w:bCs/>
      <w:color w:val="000000"/>
      <w:spacing w:val="0"/>
      <w:w w:val="100"/>
      <w:position w:val="0"/>
      <w:sz w:val="24"/>
      <w:szCs w:val="24"/>
      <w:shd w:val="clear" w:color="auto" w:fill="FFFFFF"/>
      <w:lang w:val="mk-MK" w:eastAsia="mk-MK" w:bidi="mk-MK"/>
    </w:rPr>
  </w:style>
  <w:style w:type="character" w:customStyle="1" w:styleId="Bodytext4NotBold">
    <w:name w:val="Body text|4 + Not Bold"/>
    <w:basedOn w:val="Bodytext4"/>
    <w:semiHidden/>
    <w:rsid w:val="00131338"/>
    <w:rPr>
      <w:rFonts w:ascii="Times New Roman" w:eastAsia="Times New Roman" w:hAnsi="Times New Roman" w:cs="Times New Roman" w:hint="default"/>
      <w:b/>
      <w:bCs/>
      <w:color w:val="000000"/>
      <w:spacing w:val="0"/>
      <w:w w:val="100"/>
      <w:position w:val="0"/>
      <w:sz w:val="24"/>
      <w:szCs w:val="24"/>
      <w:shd w:val="clear" w:color="auto" w:fill="FFFFFF"/>
      <w:lang w:val="mk-MK" w:eastAsia="mk-MK" w:bidi="mk-MK"/>
    </w:rPr>
  </w:style>
  <w:style w:type="character" w:customStyle="1" w:styleId="Marker1">
    <w:name w:val="Marker1"/>
    <w:rsid w:val="00131338"/>
    <w:rPr>
      <w:color w:val="008000"/>
    </w:rPr>
  </w:style>
  <w:style w:type="character" w:customStyle="1" w:styleId="Marker2">
    <w:name w:val="Marker2"/>
    <w:rsid w:val="00131338"/>
    <w:rPr>
      <w:color w:val="FF0000"/>
    </w:rPr>
  </w:style>
  <w:style w:type="character" w:customStyle="1" w:styleId="Added">
    <w:name w:val="Added"/>
    <w:rsid w:val="00131338"/>
    <w:rPr>
      <w:b/>
      <w:bCs w:val="0"/>
      <w:u w:val="single"/>
    </w:rPr>
  </w:style>
  <w:style w:type="character" w:customStyle="1" w:styleId="Deleted">
    <w:name w:val="Deleted"/>
    <w:rsid w:val="00131338"/>
    <w:rPr>
      <w:strike/>
    </w:rPr>
  </w:style>
  <w:style w:type="table" w:styleId="TableGrid">
    <w:name w:val="Table Grid"/>
    <w:basedOn w:val="TableNormal"/>
    <w:uiPriority w:val="59"/>
    <w:rsid w:val="00131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131338"/>
    <w:pPr>
      <w:pBdr>
        <w:top w:val="nil"/>
        <w:left w:val="nil"/>
        <w:bottom w:val="nil"/>
        <w:right w:val="nil"/>
        <w:between w:val="nil"/>
        <w:bar w:val="nil"/>
      </w:pBdr>
      <w:spacing w:before="120" w:after="120" w:line="240" w:lineRule="auto"/>
      <w:jc w:val="both"/>
    </w:pPr>
    <w:rPr>
      <w:rFonts w:ascii="Times New Roman" w:eastAsia="Times New Roman" w:hAnsi="Times New Roman" w:cs="Times New Roman"/>
      <w:color w:val="000000"/>
      <w:sz w:val="24"/>
      <w:szCs w:val="24"/>
      <w:u w:color="000000"/>
      <w:bdr w:val="nil"/>
    </w:rPr>
  </w:style>
  <w:style w:type="paragraph" w:customStyle="1" w:styleId="ftrefChar">
    <w:name w:val="ftref Char"/>
    <w:aliases w:val="BVI fnr Char,16 Point Char,Superscript 6 Point Char,nota pié di pagina Char,Footnote symbol Char,Footnote Reference Number Char,Ref Char,de nota al pie Char,(NECG) Footnote Reference Char,Footnote number Char,SUPERS Char"/>
    <w:basedOn w:val="Normal"/>
    <w:uiPriority w:val="99"/>
    <w:rsid w:val="00131338"/>
    <w:pPr>
      <w:spacing w:line="240" w:lineRule="exact"/>
    </w:pPr>
    <w:rPr>
      <w:vertAlign w:val="superscript"/>
    </w:rPr>
  </w:style>
  <w:style w:type="numbering" w:customStyle="1" w:styleId="NoList1">
    <w:name w:val="No List1"/>
    <w:next w:val="NoList"/>
    <w:uiPriority w:val="99"/>
    <w:semiHidden/>
    <w:unhideWhenUsed/>
    <w:rsid w:val="00131338"/>
  </w:style>
  <w:style w:type="numbering" w:customStyle="1" w:styleId="NoList11">
    <w:name w:val="No List11"/>
    <w:next w:val="NoList"/>
    <w:uiPriority w:val="99"/>
    <w:semiHidden/>
    <w:unhideWhenUsed/>
    <w:rsid w:val="00131338"/>
  </w:style>
  <w:style w:type="numbering" w:customStyle="1" w:styleId="NoList2">
    <w:name w:val="No List2"/>
    <w:next w:val="NoList"/>
    <w:semiHidden/>
    <w:rsid w:val="00131338"/>
  </w:style>
  <w:style w:type="paragraph" w:customStyle="1" w:styleId="SecurityMarking">
    <w:name w:val="SecurityMarking"/>
    <w:basedOn w:val="Normal"/>
    <w:rsid w:val="00131338"/>
    <w:pPr>
      <w:spacing w:after="0" w:line="276" w:lineRule="auto"/>
      <w:ind w:left="5103"/>
    </w:pPr>
    <w:rPr>
      <w:rFonts w:ascii="Times New Roman" w:hAnsi="Times New Roman" w:cs="Times New Roman"/>
      <w:sz w:val="28"/>
    </w:rPr>
  </w:style>
  <w:style w:type="paragraph" w:customStyle="1" w:styleId="DateMarking">
    <w:name w:val="DateMarking"/>
    <w:basedOn w:val="Normal"/>
    <w:rsid w:val="00131338"/>
    <w:pPr>
      <w:spacing w:after="0" w:line="276" w:lineRule="auto"/>
      <w:ind w:left="5103"/>
    </w:pPr>
    <w:rPr>
      <w:rFonts w:ascii="Times New Roman" w:hAnsi="Times New Roman" w:cs="Times New Roman"/>
      <w:i/>
      <w:sz w:val="28"/>
    </w:rPr>
  </w:style>
  <w:style w:type="paragraph" w:customStyle="1" w:styleId="ReleasableTo">
    <w:name w:val="ReleasableTo"/>
    <w:basedOn w:val="Normal"/>
    <w:rsid w:val="00131338"/>
    <w:pPr>
      <w:spacing w:after="0" w:line="276" w:lineRule="auto"/>
      <w:ind w:left="5103"/>
    </w:pPr>
    <w:rPr>
      <w:rFonts w:ascii="Times New Roman" w:hAnsi="Times New Roman" w:cs="Times New Roman"/>
      <w:i/>
      <w:sz w:val="28"/>
    </w:rPr>
  </w:style>
  <w:style w:type="character" w:styleId="Emphasis">
    <w:name w:val="Emphasis"/>
    <w:basedOn w:val="DefaultParagraphFont"/>
    <w:uiPriority w:val="20"/>
    <w:qFormat/>
    <w:rsid w:val="00131338"/>
    <w:rPr>
      <w:i/>
      <w:iCs/>
    </w:rPr>
  </w:style>
  <w:style w:type="character" w:customStyle="1" w:styleId="markedcontent">
    <w:name w:val="markedcontent"/>
    <w:basedOn w:val="DefaultParagraphFont"/>
    <w:rsid w:val="00131338"/>
  </w:style>
  <w:style w:type="paragraph" w:customStyle="1" w:styleId="Heading">
    <w:name w:val="Heading"/>
    <w:basedOn w:val="Normal"/>
    <w:next w:val="Normal"/>
    <w:rsid w:val="00131338"/>
    <w:pPr>
      <w:keepNext/>
      <w:spacing w:before="120" w:after="120" w:line="276" w:lineRule="auto"/>
    </w:pPr>
    <w:rPr>
      <w:rFonts w:ascii="Century Gothic" w:hAnsi="Century Gothic"/>
      <w:b/>
      <w:color w:val="333399"/>
      <w:sz w:val="18"/>
    </w:rPr>
  </w:style>
  <w:style w:type="paragraph" w:styleId="NoSpacing">
    <w:name w:val="No Spacing"/>
    <w:uiPriority w:val="1"/>
    <w:qFormat/>
    <w:rsid w:val="00131338"/>
    <w:pPr>
      <w:spacing w:after="0" w:line="240" w:lineRule="auto"/>
    </w:pPr>
  </w:style>
  <w:style w:type="character" w:customStyle="1" w:styleId="UnresolvedMention1">
    <w:name w:val="Unresolved Mention1"/>
    <w:basedOn w:val="DefaultParagraphFont"/>
    <w:uiPriority w:val="99"/>
    <w:unhideWhenUsed/>
    <w:rsid w:val="00131338"/>
    <w:rPr>
      <w:color w:val="605E5C"/>
      <w:shd w:val="clear" w:color="auto" w:fill="E1DFDD"/>
    </w:rPr>
  </w:style>
  <w:style w:type="character" w:customStyle="1" w:styleId="Mention1">
    <w:name w:val="Mention1"/>
    <w:basedOn w:val="DefaultParagraphFont"/>
    <w:uiPriority w:val="99"/>
    <w:unhideWhenUsed/>
    <w:rsid w:val="00131338"/>
    <w:rPr>
      <w:color w:val="2B579A"/>
      <w:shd w:val="clear" w:color="auto" w:fill="E1DFDD"/>
    </w:rPr>
  </w:style>
  <w:style w:type="character" w:customStyle="1" w:styleId="UnresolvedMention2">
    <w:name w:val="Unresolved Mention2"/>
    <w:basedOn w:val="DefaultParagraphFont"/>
    <w:uiPriority w:val="99"/>
    <w:unhideWhenUsed/>
    <w:rsid w:val="00131338"/>
    <w:rPr>
      <w:color w:val="605E5C"/>
      <w:shd w:val="clear" w:color="auto" w:fill="E1DFDD"/>
    </w:rPr>
  </w:style>
  <w:style w:type="character" w:customStyle="1" w:styleId="Mention2">
    <w:name w:val="Mention2"/>
    <w:basedOn w:val="DefaultParagraphFont"/>
    <w:uiPriority w:val="99"/>
    <w:unhideWhenUsed/>
    <w:rsid w:val="00131338"/>
    <w:rPr>
      <w:color w:val="2B579A"/>
      <w:shd w:val="clear" w:color="auto" w:fill="E1DFDD"/>
    </w:rPr>
  </w:style>
  <w:style w:type="character" w:customStyle="1" w:styleId="UnresolvedMention3">
    <w:name w:val="Unresolved Mention3"/>
    <w:basedOn w:val="DefaultParagraphFont"/>
    <w:uiPriority w:val="99"/>
    <w:semiHidden/>
    <w:unhideWhenUsed/>
    <w:rsid w:val="00131338"/>
    <w:rPr>
      <w:color w:val="605E5C"/>
      <w:shd w:val="clear" w:color="auto" w:fill="E1DFDD"/>
    </w:rPr>
  </w:style>
  <w:style w:type="character" w:customStyle="1" w:styleId="Footnote4">
    <w:name w:val="Footnote (4)_"/>
    <w:link w:val="Footnote40"/>
    <w:uiPriority w:val="99"/>
    <w:locked/>
    <w:rsid w:val="006762CA"/>
    <w:rPr>
      <w:rFonts w:ascii="Times New Roman" w:hAnsi="Times New Roman"/>
      <w:spacing w:val="4"/>
      <w:sz w:val="21"/>
      <w:szCs w:val="21"/>
      <w:shd w:val="clear" w:color="auto" w:fill="FFFFFF"/>
    </w:rPr>
  </w:style>
  <w:style w:type="paragraph" w:customStyle="1" w:styleId="Footnote40">
    <w:name w:val="Footnote (4)"/>
    <w:basedOn w:val="Normal"/>
    <w:link w:val="Footnote4"/>
    <w:uiPriority w:val="99"/>
    <w:rsid w:val="006762CA"/>
    <w:pPr>
      <w:widowControl w:val="0"/>
      <w:shd w:val="clear" w:color="auto" w:fill="FFFFFF"/>
      <w:spacing w:after="0" w:line="274" w:lineRule="exact"/>
    </w:pPr>
    <w:rPr>
      <w:rFonts w:ascii="Times New Roman" w:hAnsi="Times New Roman"/>
      <w:spacing w:val="4"/>
      <w:sz w:val="21"/>
      <w:szCs w:val="21"/>
    </w:rPr>
  </w:style>
  <w:style w:type="character" w:customStyle="1" w:styleId="NichtaufgelsteErwhnung1">
    <w:name w:val="Nicht aufgelöste Erwähnung1"/>
    <w:uiPriority w:val="99"/>
    <w:semiHidden/>
    <w:unhideWhenUsed/>
    <w:rsid w:val="00C702DC"/>
    <w:rPr>
      <w:color w:val="605E5C"/>
      <w:shd w:val="clear" w:color="auto" w:fill="E1DFDD"/>
    </w:rPr>
  </w:style>
  <w:style w:type="character" w:customStyle="1" w:styleId="FunotentextZchn1">
    <w:name w:val="Fußnotentext Zchn1"/>
    <w:uiPriority w:val="99"/>
    <w:semiHidden/>
    <w:rsid w:val="00C702DC"/>
    <w:rPr>
      <w:lang w:val="mk-MK" w:eastAsia="en-US"/>
    </w:rPr>
  </w:style>
  <w:style w:type="paragraph" w:styleId="EndnoteText">
    <w:name w:val="endnote text"/>
    <w:basedOn w:val="Normal"/>
    <w:link w:val="EndnoteTextChar"/>
    <w:uiPriority w:val="99"/>
    <w:semiHidden/>
    <w:unhideWhenUsed/>
    <w:rsid w:val="00C702DC"/>
    <w:rPr>
      <w:rFonts w:ascii="Calibri" w:eastAsia="Calibri" w:hAnsi="Calibri" w:cs="Times New Roman"/>
      <w:sz w:val="20"/>
      <w:szCs w:val="20"/>
      <w:lang w:eastAsia="en-US" w:bidi="ar-SA"/>
    </w:rPr>
  </w:style>
  <w:style w:type="character" w:customStyle="1" w:styleId="EndnoteTextChar">
    <w:name w:val="Endnote Text Char"/>
    <w:basedOn w:val="DefaultParagraphFont"/>
    <w:link w:val="EndnoteText"/>
    <w:uiPriority w:val="99"/>
    <w:semiHidden/>
    <w:rsid w:val="00C702DC"/>
    <w:rPr>
      <w:rFonts w:ascii="Calibri" w:eastAsia="Calibri" w:hAnsi="Calibri" w:cs="Times New Roman"/>
      <w:sz w:val="20"/>
      <w:szCs w:val="20"/>
      <w:lang w:eastAsia="en-US" w:bidi="ar-SA"/>
    </w:rPr>
  </w:style>
  <w:style w:type="character" w:styleId="EndnoteReference">
    <w:name w:val="endnote reference"/>
    <w:uiPriority w:val="99"/>
    <w:semiHidden/>
    <w:unhideWhenUsed/>
    <w:rsid w:val="00C702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digital-strategy.ec.europa.eu/en/library/declaration-future-internet" TargetMode="External"/><Relationship Id="rId1" Type="http://schemas.openxmlformats.org/officeDocument/2006/relationships/hyperlink" Target="https://www.consilium.europa.eu/media/43076/26-vc-euco-statement-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EC_Collab_Reference xmlns="501295eb-a415-4b21-b5e1-8f3c3ceded51" xsi:nil="true"/>
    <EC_Collab_DocumentLanguage xmlns="501295eb-a415-4b21-b5e1-8f3c3ceded51">EN</EC_Collab_DocumentLanguage>
    <_Status xmlns="http://schemas.microsoft.com/sharepoint/v3/fields">Not Started</_Status>
    <EC_Collab_Status xmlns="501295eb-a415-4b21-b5e1-8f3c3ceded51">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FFC6C9FD1F8AD243B17D9A9F2789C25C" ma:contentTypeVersion="2" ma:contentTypeDescription="Create a new document in this library." ma:contentTypeScope="" ma:versionID="6d645c12cd836c46c04bc588ed9e71c9">
  <xsd:schema xmlns:xsd="http://www.w3.org/2001/XMLSchema" xmlns:xs="http://www.w3.org/2001/XMLSchema" xmlns:p="http://schemas.microsoft.com/office/2006/metadata/properties" xmlns:ns2="http://schemas.microsoft.com/sharepoint/v3/fields" xmlns:ns3="501295eb-a415-4b21-b5e1-8f3c3ceded51" xmlns:ns4="dd7017fd-8015-4bdb-a4b6-f8af8c5771db" targetNamespace="http://schemas.microsoft.com/office/2006/metadata/properties" ma:root="true" ma:fieldsID="df63ae4696643b20df9c72079a3060cf" ns2:_="" ns3:_="" ns4:_="">
    <xsd:import namespace="http://schemas.microsoft.com/sharepoint/v3/fields"/>
    <xsd:import namespace="501295eb-a415-4b21-b5e1-8f3c3ceded51"/>
    <xsd:import namespace="dd7017fd-8015-4bdb-a4b6-f8af8c5771db"/>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01295eb-a415-4b21-b5e1-8f3c3ceded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dd7017fd-8015-4bdb-a4b6-f8af8c5771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BF860-9A40-4E22-B716-A2BECA050471}">
  <ds:schemaRefs>
    <ds:schemaRef ds:uri="http://schemas.openxmlformats.org/officeDocument/2006/bibliography"/>
  </ds:schemaRefs>
</ds:datastoreItem>
</file>

<file path=customXml/itemProps2.xml><?xml version="1.0" encoding="utf-8"?>
<ds:datastoreItem xmlns:ds="http://schemas.openxmlformats.org/officeDocument/2006/customXml" ds:itemID="{63F463B3-B697-4A3A-9DDA-06689497C901}">
  <ds:schemaRefs>
    <ds:schemaRef ds:uri="http://schemas.microsoft.com/office/2006/metadata/properties"/>
    <ds:schemaRef ds:uri="http://schemas.microsoft.com/office/infopath/2007/PartnerControls"/>
    <ds:schemaRef ds:uri="501295eb-a415-4b21-b5e1-8f3c3ceded51"/>
    <ds:schemaRef ds:uri="http://schemas.microsoft.com/sharepoint/v3/fields"/>
  </ds:schemaRefs>
</ds:datastoreItem>
</file>

<file path=customXml/itemProps3.xml><?xml version="1.0" encoding="utf-8"?>
<ds:datastoreItem xmlns:ds="http://schemas.openxmlformats.org/officeDocument/2006/customXml" ds:itemID="{2A352051-6561-4620-8CD7-71CEF66ED438}">
  <ds:schemaRefs>
    <ds:schemaRef ds:uri="http://schemas.microsoft.com/sharepoint/v3/contenttype/forms"/>
  </ds:schemaRefs>
</ds:datastoreItem>
</file>

<file path=customXml/itemProps4.xml><?xml version="1.0" encoding="utf-8"?>
<ds:datastoreItem xmlns:ds="http://schemas.openxmlformats.org/officeDocument/2006/customXml" ds:itemID="{C01A71A1-EC58-499D-BA1A-8A99BEAFF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01295eb-a415-4b21-b5e1-8f3c3ceded51"/>
    <ds:schemaRef ds:uri="dd7017fd-8015-4bdb-a4b6-f8af8c5771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143</Pages>
  <Words>64645</Words>
  <Characters>368478</Characters>
  <Application>Microsoft Office Word</Application>
  <DocSecurity>0</DocSecurity>
  <Lines>3070</Lines>
  <Paragraphs>864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Bojkova</dc:creator>
  <cp:lastModifiedBy>Daniela Velkovska</cp:lastModifiedBy>
  <cp:revision>2</cp:revision>
  <cp:lastPrinted>2022-10-11T13:55:00Z</cp:lastPrinted>
  <dcterms:created xsi:type="dcterms:W3CDTF">2023-02-01T08:55:00Z</dcterms:created>
  <dcterms:modified xsi:type="dcterms:W3CDTF">2023-02-01T08:55:00Z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CP-025</vt:lpwstr>
  </property>
  <property fmtid="{D5CDD505-2E9C-101B-9397-08002B2CF9AE}" pid="7" name="Last edited using">
    <vt:lpwstr>LW 8.1, Build 20220902</vt:lpwstr>
  </property>
  <property fmtid="{D5CDD505-2E9C-101B-9397-08002B2CF9AE}" pid="8" name="Created using">
    <vt:lpwstr>LW 8.0.1, Build 20220429</vt:lpwstr>
  </property>
  <property fmtid="{D5CDD505-2E9C-101B-9397-08002B2CF9AE}" pid="9" name="MSIP_Label_6bd9ddd1-4d20-43f6-abfa-fc3c07406f94_Enabled">
    <vt:lpwstr>true</vt:lpwstr>
  </property>
  <property fmtid="{D5CDD505-2E9C-101B-9397-08002B2CF9AE}" pid="10" name="MSIP_Label_6bd9ddd1-4d20-43f6-abfa-fc3c07406f94_SetDate">
    <vt:lpwstr>2022-09-30T09:29:12Z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aeadf521-0b17-487b-962c-5d0a1587c9e2</vt:lpwstr>
  </property>
  <property fmtid="{D5CDD505-2E9C-101B-9397-08002B2CF9AE}" pid="15" name="MSIP_Label_6bd9ddd1-4d20-43f6-abfa-fc3c07406f94_ContentBits">
    <vt:lpwstr>0</vt:lpwstr>
  </property>
  <property fmtid="{D5CDD505-2E9C-101B-9397-08002B2CF9AE}" pid="16" name="ContentTypeId">
    <vt:lpwstr>0x010100258AA79CEB83498886A3A0868112325000FFC6C9FD1F8AD243B17D9A9F2789C25C</vt:lpwstr>
  </property>
  <property fmtid="{D5CDD505-2E9C-101B-9397-08002B2CF9AE}" pid="17" name="GrammarlyDocumentId">
    <vt:lpwstr>43fe4c0c9a634f2671dc3381935237d3208d00cd0938f4b65dc36f9961b97785</vt:lpwstr>
  </property>
</Properties>
</file>